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0000"/>
  <w:body>
    <w:p w14:paraId="21266F6A" w14:textId="77777777" w:rsidR="00346B8F" w:rsidRPr="000E3F48" w:rsidRDefault="00346B8F" w:rsidP="00346B8F">
      <w:pPr>
        <w:rPr>
          <w:b/>
          <w:lang w:val="it-IT"/>
        </w:rPr>
      </w:pPr>
      <w:r w:rsidRPr="000E3F48">
        <w:rPr>
          <w:b/>
          <w:lang w:val="it-IT"/>
        </w:rPr>
        <w:t xml:space="preserve">                                          </w:t>
      </w:r>
      <w:r w:rsidRPr="00E245FE">
        <w:rPr>
          <w:b/>
          <w:noProof/>
          <w:lang w:val="it-IT" w:eastAsia="it-IT"/>
        </w:rPr>
        <w:drawing>
          <wp:inline distT="0" distB="0" distL="0" distR="0" wp14:anchorId="185B9FE6" wp14:editId="0E1205C9">
            <wp:extent cx="3291840" cy="8001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1840" cy="800100"/>
                    </a:xfrm>
                    <a:prstGeom prst="rect">
                      <a:avLst/>
                    </a:prstGeom>
                    <a:noFill/>
                    <a:ln>
                      <a:noFill/>
                    </a:ln>
                  </pic:spPr>
                </pic:pic>
              </a:graphicData>
            </a:graphic>
          </wp:inline>
        </w:drawing>
      </w:r>
      <w:r w:rsidRPr="000E3F48">
        <w:rPr>
          <w:b/>
          <w:lang w:val="it-IT"/>
        </w:rPr>
        <w:t xml:space="preserve">                       </w:t>
      </w:r>
    </w:p>
    <w:p w14:paraId="5A8CF3C6" w14:textId="77777777" w:rsidR="00346B8F" w:rsidRPr="000E3F48" w:rsidRDefault="00346B8F" w:rsidP="00346B8F">
      <w:pPr>
        <w:rPr>
          <w:b/>
          <w:lang w:val="it-IT"/>
        </w:rPr>
      </w:pPr>
      <w:r w:rsidRPr="000E3F48">
        <w:rPr>
          <w:b/>
          <w:lang w:val="it-IT"/>
        </w:rPr>
        <w:t xml:space="preserve">     </w:t>
      </w:r>
    </w:p>
    <w:p w14:paraId="6C70CA98" w14:textId="4DCA96A0" w:rsidR="00346B8F" w:rsidRPr="00B218EB" w:rsidRDefault="00346B8F" w:rsidP="00346B8F">
      <w:pPr>
        <w:rPr>
          <w:rFonts w:cstheme="minorHAnsi"/>
          <w:b/>
          <w:color w:val="FFFF00"/>
          <w:sz w:val="40"/>
          <w:szCs w:val="28"/>
          <w:lang w:val="it-IT"/>
        </w:rPr>
      </w:pPr>
      <w:r w:rsidRPr="00B218EB">
        <w:rPr>
          <w:rFonts w:cstheme="minorHAnsi"/>
          <w:b/>
          <w:color w:val="FFFF00"/>
          <w:sz w:val="40"/>
          <w:szCs w:val="28"/>
          <w:lang w:val="it-IT"/>
        </w:rPr>
        <w:t xml:space="preserve">   Mercato </w:t>
      </w:r>
      <w:proofErr w:type="spellStart"/>
      <w:r w:rsidR="00354323">
        <w:rPr>
          <w:rFonts w:cstheme="minorHAnsi"/>
          <w:b/>
          <w:color w:val="FFFF00"/>
          <w:sz w:val="40"/>
          <w:szCs w:val="28"/>
          <w:lang w:val="it-IT"/>
        </w:rPr>
        <w:t>N.America</w:t>
      </w:r>
      <w:proofErr w:type="spellEnd"/>
      <w:r w:rsidR="00354323">
        <w:rPr>
          <w:rFonts w:cstheme="minorHAnsi"/>
          <w:b/>
          <w:color w:val="FFFF00"/>
          <w:sz w:val="40"/>
          <w:szCs w:val="28"/>
          <w:lang w:val="it-IT"/>
        </w:rPr>
        <w:t xml:space="preserve"> auto</w:t>
      </w:r>
      <w:r w:rsidRPr="00B218EB">
        <w:rPr>
          <w:rFonts w:cstheme="minorHAnsi"/>
          <w:b/>
          <w:color w:val="FFFF00"/>
          <w:sz w:val="40"/>
          <w:szCs w:val="28"/>
          <w:lang w:val="it-IT"/>
        </w:rPr>
        <w:t xml:space="preserve">carri pesanti - </w:t>
      </w:r>
      <w:r w:rsidR="000E66D4">
        <w:rPr>
          <w:rFonts w:cstheme="minorHAnsi"/>
          <w:b/>
          <w:color w:val="FFFF00"/>
          <w:sz w:val="40"/>
          <w:szCs w:val="28"/>
          <w:lang w:val="it-IT"/>
        </w:rPr>
        <w:t>Novembre</w:t>
      </w:r>
      <w:r w:rsidRPr="00B218EB">
        <w:rPr>
          <w:rFonts w:cstheme="minorHAnsi"/>
          <w:b/>
          <w:color w:val="FFFF00"/>
          <w:sz w:val="40"/>
          <w:szCs w:val="28"/>
          <w:lang w:val="it-IT"/>
        </w:rPr>
        <w:t xml:space="preserve"> 2023 </w:t>
      </w:r>
    </w:p>
    <w:p w14:paraId="3E1916FD" w14:textId="77777777" w:rsidR="00346B8F" w:rsidRPr="00B218EB" w:rsidRDefault="00346B8F" w:rsidP="00346B8F">
      <w:pPr>
        <w:rPr>
          <w:b/>
          <w:lang w:val="it-IT"/>
        </w:rPr>
      </w:pPr>
      <w:r w:rsidRPr="00B218EB">
        <w:rPr>
          <w:b/>
          <w:lang w:val="it-IT"/>
        </w:rPr>
        <w:t xml:space="preserve">                                                                                                                                                                                                                                           </w:t>
      </w:r>
    </w:p>
    <w:p w14:paraId="6393C5CB" w14:textId="27962C55" w:rsidR="00346B8F" w:rsidRPr="000E3F48" w:rsidRDefault="00346B8F" w:rsidP="00346B8F">
      <w:pPr>
        <w:rPr>
          <w:b/>
          <w:color w:val="FFFFFF" w:themeColor="background1"/>
          <w:lang w:val="it-IT"/>
        </w:rPr>
      </w:pPr>
      <w:r w:rsidRPr="00B218EB">
        <w:rPr>
          <w:b/>
          <w:color w:val="FFFFFF" w:themeColor="background1"/>
          <w:lang w:val="it-IT"/>
        </w:rPr>
        <w:t xml:space="preserve">                                                                                                                                   </w:t>
      </w:r>
      <w:r w:rsidRPr="000E3F48">
        <w:rPr>
          <w:b/>
          <w:color w:val="FFFFFF" w:themeColor="background1"/>
          <w:lang w:val="it-IT"/>
        </w:rPr>
        <w:t xml:space="preserve">Torino, </w:t>
      </w:r>
      <w:r>
        <w:rPr>
          <w:b/>
          <w:color w:val="FFFFFF" w:themeColor="background1"/>
          <w:lang w:val="it-IT"/>
        </w:rPr>
        <w:t>16 dicembre</w:t>
      </w:r>
      <w:r w:rsidRPr="000E3F48">
        <w:rPr>
          <w:b/>
          <w:color w:val="FFFFFF" w:themeColor="background1"/>
          <w:lang w:val="it-IT"/>
        </w:rPr>
        <w:t>, 2023</w:t>
      </w:r>
    </w:p>
    <w:p w14:paraId="3717ED70" w14:textId="77777777" w:rsidR="00346B8F" w:rsidRPr="000E3F48" w:rsidRDefault="00346B8F" w:rsidP="00346B8F">
      <w:pPr>
        <w:rPr>
          <w:b/>
          <w:color w:val="FFFFFF" w:themeColor="background1"/>
          <w:lang w:val="it-IT"/>
        </w:rPr>
      </w:pPr>
    </w:p>
    <w:p w14:paraId="2BFCC2B9" w14:textId="6B894D86" w:rsidR="00346B8F" w:rsidRPr="00B218EB" w:rsidRDefault="00346B8F" w:rsidP="00346B8F">
      <w:pPr>
        <w:rPr>
          <w:rFonts w:ascii="Tahoma" w:hAnsi="Tahoma" w:cs="Tahoma"/>
          <w:b/>
          <w:color w:val="FFFF00"/>
          <w:sz w:val="24"/>
          <w:szCs w:val="24"/>
          <w:lang w:val="it-IT"/>
        </w:rPr>
      </w:pPr>
      <w:r w:rsidRPr="00B218EB">
        <w:rPr>
          <w:rFonts w:ascii="Tahoma" w:hAnsi="Tahoma" w:cs="Tahoma"/>
          <w:b/>
          <w:color w:val="FFFF00"/>
          <w:sz w:val="24"/>
          <w:szCs w:val="24"/>
          <w:lang w:val="it-IT"/>
        </w:rPr>
        <w:t>Le vendite dei veicoli della Classe 8 nel</w:t>
      </w:r>
      <w:r w:rsidR="000E66D4">
        <w:rPr>
          <w:rFonts w:ascii="Tahoma" w:hAnsi="Tahoma" w:cs="Tahoma"/>
          <w:b/>
          <w:color w:val="FFFF00"/>
          <w:sz w:val="24"/>
          <w:szCs w:val="24"/>
          <w:lang w:val="it-IT"/>
        </w:rPr>
        <w:t xml:space="preserve"> Nord America</w:t>
      </w:r>
      <w:r w:rsidRPr="00B218EB">
        <w:rPr>
          <w:rFonts w:ascii="Tahoma" w:hAnsi="Tahoma" w:cs="Tahoma"/>
          <w:b/>
          <w:color w:val="FFFF00"/>
          <w:sz w:val="24"/>
          <w:szCs w:val="24"/>
          <w:lang w:val="it-IT"/>
        </w:rPr>
        <w:t xml:space="preserve"> sono diminuite per il </w:t>
      </w:r>
      <w:r w:rsidR="00511288">
        <w:rPr>
          <w:rFonts w:ascii="Tahoma" w:hAnsi="Tahoma" w:cs="Tahoma"/>
          <w:b/>
          <w:color w:val="FFFF00"/>
          <w:sz w:val="24"/>
          <w:szCs w:val="24"/>
          <w:lang w:val="it-IT"/>
        </w:rPr>
        <w:t>quarto</w:t>
      </w:r>
      <w:r w:rsidRPr="00B218EB">
        <w:rPr>
          <w:rFonts w:ascii="Tahoma" w:hAnsi="Tahoma" w:cs="Tahoma"/>
          <w:b/>
          <w:color w:val="FFFF00"/>
          <w:sz w:val="24"/>
          <w:szCs w:val="24"/>
          <w:lang w:val="it-IT"/>
        </w:rPr>
        <w:t xml:space="preserve"> mese consecutivo a </w:t>
      </w:r>
      <w:r w:rsidR="00511288">
        <w:rPr>
          <w:rFonts w:ascii="Tahoma" w:hAnsi="Tahoma" w:cs="Tahoma"/>
          <w:b/>
          <w:color w:val="FFFF00"/>
          <w:sz w:val="24"/>
          <w:szCs w:val="24"/>
          <w:lang w:val="it-IT"/>
        </w:rPr>
        <w:t>novembre</w:t>
      </w:r>
      <w:r w:rsidRPr="00B218EB">
        <w:rPr>
          <w:rFonts w:ascii="Tahoma" w:hAnsi="Tahoma" w:cs="Tahoma"/>
          <w:b/>
          <w:color w:val="FFFF00"/>
          <w:sz w:val="24"/>
          <w:szCs w:val="24"/>
          <w:lang w:val="it-IT"/>
        </w:rPr>
        <w:t xml:space="preserve"> (-</w:t>
      </w:r>
      <w:r w:rsidR="00511288">
        <w:rPr>
          <w:rFonts w:ascii="Tahoma" w:hAnsi="Tahoma" w:cs="Tahoma"/>
          <w:b/>
          <w:color w:val="FFFF00"/>
          <w:sz w:val="24"/>
          <w:szCs w:val="24"/>
          <w:lang w:val="it-IT"/>
        </w:rPr>
        <w:t>17,5</w:t>
      </w:r>
      <w:r w:rsidRPr="00B218EB">
        <w:rPr>
          <w:rFonts w:ascii="Tahoma" w:hAnsi="Tahoma" w:cs="Tahoma"/>
          <w:b/>
          <w:color w:val="FFFF00"/>
          <w:sz w:val="24"/>
          <w:szCs w:val="24"/>
          <w:lang w:val="it-IT"/>
        </w:rPr>
        <w:t>%).</w:t>
      </w:r>
    </w:p>
    <w:p w14:paraId="1AC6EF4D" w14:textId="77777777" w:rsidR="00346B8F" w:rsidRPr="000E3F48" w:rsidRDefault="00346B8F" w:rsidP="00346B8F">
      <w:pPr>
        <w:rPr>
          <w:b/>
          <w:color w:val="FFFFFF" w:themeColor="background1"/>
          <w:lang w:val="it-IT"/>
        </w:rPr>
      </w:pPr>
      <w:r w:rsidRPr="000F4D41">
        <w:rPr>
          <w:rFonts w:ascii="Tahoma" w:hAnsi="Tahoma" w:cs="Tahoma"/>
          <w:noProof/>
          <w:color w:val="FFFFFF" w:themeColor="background1"/>
          <w:lang w:val="it-IT" w:eastAsia="it-IT"/>
        </w:rPr>
        <w:drawing>
          <wp:anchor distT="0" distB="0" distL="114300" distR="114300" simplePos="0" relativeHeight="251659264" behindDoc="0" locked="0" layoutInCell="1" allowOverlap="1" wp14:anchorId="6474B194" wp14:editId="32FAAE2B">
            <wp:simplePos x="0" y="0"/>
            <wp:positionH relativeFrom="margin">
              <wp:posOffset>-76200</wp:posOffset>
            </wp:positionH>
            <wp:positionV relativeFrom="paragraph">
              <wp:posOffset>294640</wp:posOffset>
            </wp:positionV>
            <wp:extent cx="4584065" cy="3982720"/>
            <wp:effectExtent l="0" t="0" r="6985" b="17780"/>
            <wp:wrapSquare wrapText="bothSides"/>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5CD72A5F" w14:textId="6E127DA3" w:rsidR="00346B8F" w:rsidRPr="00B218EB" w:rsidRDefault="00346B8F" w:rsidP="00346B8F">
      <w:pPr>
        <w:rPr>
          <w:rFonts w:ascii="Tahoma" w:hAnsi="Tahoma" w:cs="Tahoma"/>
          <w:bCs/>
          <w:color w:val="FFFFFF" w:themeColor="background1"/>
          <w:lang w:val="it-IT"/>
        </w:rPr>
      </w:pPr>
      <w:r w:rsidRPr="00B218EB">
        <w:rPr>
          <w:rFonts w:ascii="Tahoma" w:hAnsi="Tahoma" w:cs="Tahoma"/>
          <w:bCs/>
          <w:color w:val="FFFFFF" w:themeColor="background1"/>
          <w:lang w:val="it-IT"/>
        </w:rPr>
        <w:t>Le vendite di veicoli della Classe 8 nel</w:t>
      </w:r>
      <w:r w:rsidR="00464F71">
        <w:rPr>
          <w:rFonts w:ascii="Tahoma" w:hAnsi="Tahoma" w:cs="Tahoma"/>
          <w:bCs/>
          <w:color w:val="FFFFFF" w:themeColor="background1"/>
          <w:lang w:val="it-IT"/>
        </w:rPr>
        <w:t xml:space="preserve"> Nord </w:t>
      </w:r>
      <w:proofErr w:type="spellStart"/>
      <w:r w:rsidR="00464F71">
        <w:rPr>
          <w:rFonts w:ascii="Tahoma" w:hAnsi="Tahoma" w:cs="Tahoma"/>
          <w:bCs/>
          <w:color w:val="FFFFFF" w:themeColor="background1"/>
          <w:lang w:val="it-IT"/>
        </w:rPr>
        <w:t>America</w:t>
      </w:r>
      <w:r w:rsidRPr="00B218EB">
        <w:rPr>
          <w:rFonts w:ascii="Tahoma" w:hAnsi="Tahoma" w:cs="Tahoma"/>
          <w:bCs/>
          <w:color w:val="FFFFFF" w:themeColor="background1"/>
          <w:lang w:val="it-IT"/>
        </w:rPr>
        <w:t>i</w:t>
      </w:r>
      <w:proofErr w:type="spellEnd"/>
      <w:r w:rsidRPr="00B218EB">
        <w:rPr>
          <w:rFonts w:ascii="Tahoma" w:hAnsi="Tahoma" w:cs="Tahoma"/>
          <w:bCs/>
          <w:color w:val="FFFFFF" w:themeColor="background1"/>
          <w:lang w:val="it-IT"/>
        </w:rPr>
        <w:t xml:space="preserve"> sono diminuite rispetto allo stesso periodo di un anno fa per il </w:t>
      </w:r>
      <w:r>
        <w:rPr>
          <w:rFonts w:ascii="Tahoma" w:hAnsi="Tahoma" w:cs="Tahoma"/>
          <w:bCs/>
          <w:color w:val="FFFFFF" w:themeColor="background1"/>
          <w:lang w:val="it-IT"/>
        </w:rPr>
        <w:t>quarto</w:t>
      </w:r>
      <w:r w:rsidRPr="00B218EB">
        <w:rPr>
          <w:rFonts w:ascii="Tahoma" w:hAnsi="Tahoma" w:cs="Tahoma"/>
          <w:bCs/>
          <w:color w:val="FFFFFF" w:themeColor="background1"/>
          <w:lang w:val="it-IT"/>
        </w:rPr>
        <w:t xml:space="preserve"> mese consecutivo. Le vendite sono diminuite del</w:t>
      </w:r>
      <w:r>
        <w:rPr>
          <w:rFonts w:ascii="Tahoma" w:hAnsi="Tahoma" w:cs="Tahoma"/>
          <w:bCs/>
          <w:color w:val="FFFFFF" w:themeColor="background1"/>
          <w:lang w:val="it-IT"/>
        </w:rPr>
        <w:t xml:space="preserve"> </w:t>
      </w:r>
      <w:r w:rsidR="007D24EC">
        <w:rPr>
          <w:rFonts w:ascii="Tahoma" w:hAnsi="Tahoma" w:cs="Tahoma"/>
          <w:bCs/>
          <w:color w:val="FFFFFF" w:themeColor="background1"/>
          <w:lang w:val="it-IT"/>
        </w:rPr>
        <w:t>17,5</w:t>
      </w:r>
      <w:r w:rsidRPr="00B218EB">
        <w:rPr>
          <w:rFonts w:ascii="Tahoma" w:hAnsi="Tahoma" w:cs="Tahoma"/>
          <w:bCs/>
          <w:color w:val="FFFFFF" w:themeColor="background1"/>
          <w:lang w:val="it-IT"/>
        </w:rPr>
        <w:t xml:space="preserve">% a </w:t>
      </w:r>
      <w:r w:rsidR="007D24EC">
        <w:rPr>
          <w:rFonts w:ascii="Tahoma" w:hAnsi="Tahoma" w:cs="Tahoma"/>
          <w:bCs/>
          <w:color w:val="FFFFFF" w:themeColor="background1"/>
          <w:lang w:val="it-IT"/>
        </w:rPr>
        <w:t>19.027</w:t>
      </w:r>
      <w:r w:rsidRPr="00B218EB">
        <w:rPr>
          <w:rFonts w:ascii="Tahoma" w:hAnsi="Tahoma" w:cs="Tahoma"/>
          <w:bCs/>
          <w:color w:val="FFFFFF" w:themeColor="background1"/>
          <w:lang w:val="it-IT"/>
        </w:rPr>
        <w:t xml:space="preserve"> unità dalle 2</w:t>
      </w:r>
      <w:r w:rsidR="007D24EC">
        <w:rPr>
          <w:rFonts w:ascii="Tahoma" w:hAnsi="Tahoma" w:cs="Tahoma"/>
          <w:bCs/>
          <w:color w:val="FFFFFF" w:themeColor="background1"/>
          <w:lang w:val="it-IT"/>
        </w:rPr>
        <w:t>3.075</w:t>
      </w:r>
      <w:r w:rsidRPr="00B218EB">
        <w:rPr>
          <w:rFonts w:ascii="Tahoma" w:hAnsi="Tahoma" w:cs="Tahoma"/>
          <w:bCs/>
          <w:color w:val="FFFFFF" w:themeColor="background1"/>
          <w:lang w:val="it-IT"/>
        </w:rPr>
        <w:t xml:space="preserve"> del 2022</w:t>
      </w:r>
      <w:r>
        <w:rPr>
          <w:rFonts w:ascii="Tahoma" w:hAnsi="Tahoma" w:cs="Tahoma"/>
          <w:bCs/>
          <w:color w:val="FFFFFF" w:themeColor="background1"/>
          <w:lang w:val="it-IT"/>
        </w:rPr>
        <w:t>.</w:t>
      </w:r>
    </w:p>
    <w:p w14:paraId="20934EE1" w14:textId="0F8BA9C0" w:rsidR="007D24EC" w:rsidRPr="007D24EC" w:rsidRDefault="007D24EC" w:rsidP="007D24EC">
      <w:pPr>
        <w:rPr>
          <w:rFonts w:ascii="Tahoma" w:hAnsi="Tahoma" w:cs="Tahoma"/>
          <w:color w:val="FFFFFF" w:themeColor="background1"/>
          <w:lang w:val="it-IT"/>
        </w:rPr>
      </w:pPr>
      <w:r>
        <w:rPr>
          <w:rFonts w:ascii="Tahoma" w:hAnsi="Tahoma" w:cs="Tahoma"/>
          <w:color w:val="FFFFFF" w:themeColor="background1"/>
        </w:rPr>
        <w:t>In contrasto apparente con le vendite g</w:t>
      </w:r>
      <w:r w:rsidRPr="007D24EC">
        <w:rPr>
          <w:rFonts w:ascii="Tahoma" w:hAnsi="Tahoma" w:cs="Tahoma"/>
          <w:color w:val="FFFFFF" w:themeColor="background1"/>
          <w:lang w:val="it-IT"/>
        </w:rPr>
        <w:t>li ordini di autocarri di classe 8 sono aumentati del 32% a novembre a 36.750 unità, riporta FTR nei dati preliminari, ma il guadagno è stato solo del 2% su base anno su anno. Gli slot di costruzione continuano a essere riempiti “a un ritmo salutare”, secondo le previsioni del settore, riflettendo “un mercato che storicamente si sta ancora comportando a un livello elevato”.</w:t>
      </w:r>
    </w:p>
    <w:p w14:paraId="48414F43" w14:textId="77777777" w:rsidR="007D24EC" w:rsidRPr="007D24EC" w:rsidRDefault="007D24EC" w:rsidP="007D24EC">
      <w:pPr>
        <w:rPr>
          <w:rFonts w:ascii="Tahoma" w:hAnsi="Tahoma" w:cs="Tahoma"/>
          <w:color w:val="FFFFFF" w:themeColor="background1"/>
          <w:lang w:val="it-IT"/>
        </w:rPr>
      </w:pPr>
      <w:r w:rsidRPr="007D24EC">
        <w:rPr>
          <w:rFonts w:ascii="Tahoma" w:hAnsi="Tahoma" w:cs="Tahoma"/>
          <w:color w:val="FFFFFF" w:themeColor="background1"/>
          <w:lang w:val="it-IT"/>
        </w:rPr>
        <w:t>"Abbiamo anche osservato un mercato più coeso per gli OEM rispetto a ottobre, con la maggioranza che ha registrato un aumento degli ordini", ha riassunto il presidente di FTR Eric Starks. “Nonostante la prolungata debolezza del mercato complessivo del trasporto merci, le flotte continuano ad essere disposte a ordinare nuove attrezzature. I livelli degli ordini sono stati superiori alla media storica ma continuano a seguire le tendenze stagionali, stabilizzando le nostre aspettative per la domanda sostitutiva nel 2024”.</w:t>
      </w:r>
    </w:p>
    <w:p w14:paraId="0C8A8773" w14:textId="4BE331CE" w:rsidR="007D24EC" w:rsidRPr="007D24EC" w:rsidRDefault="007D24EC" w:rsidP="007D24EC">
      <w:pPr>
        <w:rPr>
          <w:rFonts w:ascii="Tahoma" w:hAnsi="Tahoma" w:cs="Tahoma"/>
          <w:color w:val="FFFFFF" w:themeColor="background1"/>
          <w:lang w:val="it-IT"/>
        </w:rPr>
      </w:pPr>
      <w:r w:rsidRPr="007D24EC">
        <w:rPr>
          <w:rFonts w:ascii="Tahoma" w:hAnsi="Tahoma" w:cs="Tahoma"/>
          <w:color w:val="FFFFFF" w:themeColor="background1"/>
        </w:rPr>
        <w:lastRenderedPageBreak/>
        <w:drawing>
          <wp:inline distT="0" distB="0" distL="0" distR="0" wp14:anchorId="1AAE021A" wp14:editId="4C10D03D">
            <wp:extent cx="154305" cy="1543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464F71">
        <w:rPr>
          <w:noProof/>
        </w:rPr>
        <w:drawing>
          <wp:inline distT="0" distB="0" distL="0" distR="0" wp14:anchorId="65FA9303" wp14:editId="58E6B880">
            <wp:extent cx="4572000" cy="2743200"/>
            <wp:effectExtent l="0" t="0" r="0" b="0"/>
            <wp:docPr id="1" name="Grafico 1">
              <a:extLst xmlns:a="http://schemas.openxmlformats.org/drawingml/2006/main">
                <a:ext uri="{FF2B5EF4-FFF2-40B4-BE49-F238E27FC236}">
                  <a16:creationId xmlns:a16="http://schemas.microsoft.com/office/drawing/2014/main" id="{047E1CA1-C17A-49E5-ABBB-ECCEF5C574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27CC02" w14:textId="49938519" w:rsidR="00346B8F" w:rsidRPr="00822649" w:rsidRDefault="00346B8F" w:rsidP="00346B8F">
      <w:pPr>
        <w:rPr>
          <w:rFonts w:ascii="Tahoma" w:hAnsi="Tahoma" w:cs="Tahoma"/>
          <w:color w:val="FFFFFF" w:themeColor="background1"/>
          <w:lang w:val="en"/>
        </w:rPr>
      </w:pPr>
      <w:r>
        <w:rPr>
          <w:noProof/>
        </w:rPr>
        <w:drawing>
          <wp:inline distT="0" distB="0" distL="0" distR="0" wp14:anchorId="3B65DE28" wp14:editId="362FCC54">
            <wp:extent cx="6120130" cy="307099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70995"/>
                    </a:xfrm>
                    <a:prstGeom prst="rect">
                      <a:avLst/>
                    </a:prstGeom>
                    <a:noFill/>
                    <a:ln>
                      <a:noFill/>
                    </a:ln>
                  </pic:spPr>
                </pic:pic>
              </a:graphicData>
            </a:graphic>
          </wp:inline>
        </w:drawing>
      </w:r>
    </w:p>
    <w:p w14:paraId="7BEB1118" w14:textId="77E979B4" w:rsidR="00346B8F" w:rsidRDefault="00346B8F" w:rsidP="00346B8F">
      <w:pPr>
        <w:rPr>
          <w:rFonts w:ascii="Tahoma" w:hAnsi="Tahoma" w:cs="Tahoma"/>
          <w:color w:val="FFFFFF" w:themeColor="background1"/>
          <w:lang w:val="en"/>
        </w:rPr>
      </w:pPr>
    </w:p>
    <w:p w14:paraId="03FBC8EC" w14:textId="6FCB24AD" w:rsidR="00346B8F" w:rsidRPr="00B218EB" w:rsidRDefault="00346B8F" w:rsidP="00346B8F">
      <w:pPr>
        <w:rPr>
          <w:rFonts w:ascii="Tahoma" w:hAnsi="Tahoma" w:cs="Tahoma"/>
          <w:color w:val="FFFFFF" w:themeColor="background1"/>
          <w:lang w:val="it-IT"/>
        </w:rPr>
      </w:pPr>
      <w:r w:rsidRPr="00B218EB">
        <w:rPr>
          <w:rFonts w:ascii="Tahoma" w:hAnsi="Tahoma" w:cs="Tahoma"/>
          <w:color w:val="FFFFFF" w:themeColor="background1"/>
          <w:lang w:val="it-IT"/>
        </w:rPr>
        <w:t xml:space="preserve">Le vendite </w:t>
      </w:r>
      <w:r w:rsidR="00354323">
        <w:rPr>
          <w:rFonts w:ascii="Tahoma" w:hAnsi="Tahoma" w:cs="Tahoma"/>
          <w:color w:val="FFFFFF" w:themeColor="background1"/>
          <w:lang w:val="it-IT"/>
        </w:rPr>
        <w:t xml:space="preserve">2023 </w:t>
      </w:r>
      <w:r w:rsidRPr="00B218EB">
        <w:rPr>
          <w:rFonts w:ascii="Tahoma" w:hAnsi="Tahoma" w:cs="Tahoma"/>
          <w:color w:val="FFFFFF" w:themeColor="background1"/>
          <w:lang w:val="it-IT"/>
        </w:rPr>
        <w:t xml:space="preserve">cumulative di autocarri di classe 8 a </w:t>
      </w:r>
      <w:r w:rsidR="00464F71">
        <w:rPr>
          <w:rFonts w:ascii="Tahoma" w:hAnsi="Tahoma" w:cs="Tahoma"/>
          <w:color w:val="FFFFFF" w:themeColor="background1"/>
          <w:lang w:val="it-IT"/>
        </w:rPr>
        <w:t>novembre</w:t>
      </w:r>
      <w:r w:rsidRPr="00B218EB">
        <w:rPr>
          <w:rFonts w:ascii="Tahoma" w:hAnsi="Tahoma" w:cs="Tahoma"/>
          <w:color w:val="FFFFFF" w:themeColor="background1"/>
          <w:lang w:val="it-IT"/>
        </w:rPr>
        <w:t xml:space="preserve"> sono aumentate del</w:t>
      </w:r>
      <w:r w:rsidR="00511288">
        <w:rPr>
          <w:rFonts w:ascii="Tahoma" w:hAnsi="Tahoma" w:cs="Tahoma"/>
          <w:color w:val="FFFFFF" w:themeColor="background1"/>
          <w:lang w:val="it-IT"/>
        </w:rPr>
        <w:t>l’8%</w:t>
      </w:r>
      <w:r w:rsidRPr="00B218EB">
        <w:rPr>
          <w:rFonts w:ascii="Tahoma" w:hAnsi="Tahoma" w:cs="Tahoma"/>
          <w:color w:val="FFFFFF" w:themeColor="background1"/>
          <w:lang w:val="it-IT"/>
        </w:rPr>
        <w:t xml:space="preserve"> rispetto allo scorso anno</w:t>
      </w:r>
      <w:r w:rsidR="00511288">
        <w:rPr>
          <w:rFonts w:ascii="Tahoma" w:hAnsi="Tahoma" w:cs="Tahoma"/>
          <w:color w:val="FFFFFF" w:themeColor="background1"/>
          <w:lang w:val="it-IT"/>
        </w:rPr>
        <w:t>, a 243.253 vendite.</w:t>
      </w:r>
    </w:p>
    <w:p w14:paraId="6D57BB4E" w14:textId="77777777" w:rsidR="00346B8F" w:rsidRPr="000E3F48" w:rsidRDefault="00346B8F" w:rsidP="00346B8F">
      <w:pPr>
        <w:rPr>
          <w:rFonts w:ascii="Tahoma" w:hAnsi="Tahoma" w:cs="Tahoma"/>
          <w:color w:val="FFFFFF" w:themeColor="background1"/>
          <w:lang w:val="it-IT"/>
        </w:rPr>
      </w:pPr>
    </w:p>
    <w:p w14:paraId="59B99AAB" w14:textId="77777777" w:rsidR="00346B8F" w:rsidRPr="00B218EB" w:rsidRDefault="00346B8F" w:rsidP="00346B8F">
      <w:pPr>
        <w:rPr>
          <w:rFonts w:ascii="Tahoma" w:hAnsi="Tahoma" w:cs="Tahoma"/>
          <w:color w:val="FFFFFF" w:themeColor="background1"/>
          <w:lang w:val="it-IT"/>
        </w:rPr>
      </w:pPr>
      <w:r w:rsidRPr="00B218EB">
        <w:rPr>
          <w:rFonts w:ascii="Tahoma" w:hAnsi="Tahoma" w:cs="Tahoma"/>
          <w:color w:val="FFFFFF" w:themeColor="background1"/>
          <w:lang w:val="it-IT"/>
        </w:rPr>
        <w:t xml:space="preserve">      </w:t>
      </w:r>
    </w:p>
    <w:p w14:paraId="406F6B5C" w14:textId="3799CB10" w:rsidR="00346B8F" w:rsidRPr="00F44B73" w:rsidRDefault="00346B8F" w:rsidP="00346B8F">
      <w:pPr>
        <w:rPr>
          <w:rFonts w:ascii="Tahoma" w:hAnsi="Tahoma" w:cs="Tahoma"/>
          <w:b/>
          <w:color w:val="FFFF00"/>
          <w:sz w:val="24"/>
          <w:szCs w:val="24"/>
        </w:rPr>
      </w:pPr>
      <w:r w:rsidRPr="00F44B73">
        <w:rPr>
          <w:rFonts w:ascii="Tahoma" w:hAnsi="Tahoma" w:cs="Tahoma"/>
          <w:b/>
          <w:color w:val="FFFF00"/>
          <w:sz w:val="24"/>
          <w:szCs w:val="24"/>
        </w:rPr>
        <w:t xml:space="preserve">Emilio di Camillo – Centro Studi Subalpino – </w:t>
      </w:r>
      <w:r>
        <w:rPr>
          <w:rFonts w:ascii="Tahoma" w:hAnsi="Tahoma" w:cs="Tahoma"/>
          <w:b/>
          <w:color w:val="FFFF00"/>
          <w:sz w:val="24"/>
          <w:szCs w:val="24"/>
        </w:rPr>
        <w:t>Dicembre</w:t>
      </w:r>
      <w:r>
        <w:rPr>
          <w:rFonts w:ascii="Tahoma" w:hAnsi="Tahoma" w:cs="Tahoma"/>
          <w:b/>
          <w:color w:val="FFFF00"/>
          <w:sz w:val="24"/>
          <w:szCs w:val="24"/>
        </w:rPr>
        <w:t xml:space="preserve"> 2023</w:t>
      </w:r>
    </w:p>
    <w:p w14:paraId="0D768F14" w14:textId="77777777" w:rsidR="00346B8F" w:rsidRPr="00E245FE" w:rsidRDefault="00346B8F" w:rsidP="00346B8F">
      <w:pPr>
        <w:rPr>
          <w:color w:val="FFFFFF" w:themeColor="background1"/>
        </w:rPr>
      </w:pPr>
    </w:p>
    <w:p w14:paraId="2E141BD6" w14:textId="77777777" w:rsidR="00B27512" w:rsidRDefault="00B27512"/>
    <w:sectPr w:rsidR="00B27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8F"/>
    <w:rsid w:val="000E66D4"/>
    <w:rsid w:val="00346B8F"/>
    <w:rsid w:val="00354323"/>
    <w:rsid w:val="00464F71"/>
    <w:rsid w:val="00511288"/>
    <w:rsid w:val="00672420"/>
    <w:rsid w:val="007D24EC"/>
    <w:rsid w:val="00B27512"/>
    <w:rsid w:val="00D6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46CD"/>
  <w15:chartTrackingRefBased/>
  <w15:docId w15:val="{4CEC58F2-D120-43B4-BE2C-EC9B8CC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B8F"/>
    <w:rPr>
      <w:lang w:val="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D24E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D24EC"/>
    <w:rPr>
      <w:rFonts w:ascii="Consolas" w:hAnsi="Consolas"/>
      <w:sz w:val="20"/>
      <w:szCs w:val="20"/>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14690">
      <w:bodyDiv w:val="1"/>
      <w:marLeft w:val="0"/>
      <w:marRight w:val="0"/>
      <w:marTop w:val="0"/>
      <w:marBottom w:val="0"/>
      <w:divBdr>
        <w:top w:val="none" w:sz="0" w:space="0" w:color="auto"/>
        <w:left w:val="none" w:sz="0" w:space="0" w:color="auto"/>
        <w:bottom w:val="none" w:sz="0" w:space="0" w:color="auto"/>
        <w:right w:val="none" w:sz="0" w:space="0" w:color="auto"/>
      </w:divBdr>
      <w:divsChild>
        <w:div w:id="1393701411">
          <w:marLeft w:val="0"/>
          <w:marRight w:val="0"/>
          <w:marTop w:val="0"/>
          <w:marBottom w:val="0"/>
          <w:divBdr>
            <w:top w:val="none" w:sz="0" w:space="0" w:color="auto"/>
            <w:left w:val="none" w:sz="0" w:space="0" w:color="auto"/>
            <w:bottom w:val="none" w:sz="0" w:space="0" w:color="auto"/>
            <w:right w:val="none" w:sz="0" w:space="0" w:color="auto"/>
          </w:divBdr>
        </w:div>
        <w:div w:id="612710659">
          <w:marLeft w:val="0"/>
          <w:marRight w:val="0"/>
          <w:marTop w:val="0"/>
          <w:marBottom w:val="0"/>
          <w:divBdr>
            <w:top w:val="none" w:sz="0" w:space="0" w:color="auto"/>
            <w:left w:val="none" w:sz="0" w:space="0" w:color="auto"/>
            <w:bottom w:val="none" w:sz="0" w:space="0" w:color="auto"/>
            <w:right w:val="none" w:sz="0" w:space="0" w:color="auto"/>
          </w:divBdr>
          <w:divsChild>
            <w:div w:id="8683483">
              <w:marLeft w:val="0"/>
              <w:marRight w:val="0"/>
              <w:marTop w:val="0"/>
              <w:marBottom w:val="0"/>
              <w:divBdr>
                <w:top w:val="none" w:sz="0" w:space="0" w:color="auto"/>
                <w:left w:val="none" w:sz="0" w:space="0" w:color="auto"/>
                <w:bottom w:val="none" w:sz="0" w:space="0" w:color="auto"/>
                <w:right w:val="none" w:sz="0" w:space="0" w:color="auto"/>
              </w:divBdr>
              <w:divsChild>
                <w:div w:id="892815582">
                  <w:marLeft w:val="0"/>
                  <w:marRight w:val="0"/>
                  <w:marTop w:val="0"/>
                  <w:marBottom w:val="0"/>
                  <w:divBdr>
                    <w:top w:val="none" w:sz="0" w:space="0" w:color="auto"/>
                    <w:left w:val="none" w:sz="0" w:space="0" w:color="auto"/>
                    <w:bottom w:val="none" w:sz="0" w:space="0" w:color="auto"/>
                    <w:right w:val="none" w:sz="0" w:space="0" w:color="auto"/>
                  </w:divBdr>
                  <w:divsChild>
                    <w:div w:id="1186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Grafico%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aseline="0"/>
            </a:pPr>
            <a:r>
              <a:rPr lang="it" sz="1050" baseline="0"/>
              <a:t>Class 8 trucks market in N.A.  by month </a:t>
            </a:r>
          </a:p>
          <a:p>
            <a:pPr>
              <a:defRPr sz="1050" baseline="0"/>
            </a:pPr>
            <a:r>
              <a:rPr lang="it" sz="1050" baseline="0"/>
              <a:t>(Wards Intelligence data)</a:t>
            </a:r>
            <a:endParaRPr lang="it" sz="900" baseline="0"/>
          </a:p>
        </c:rich>
      </c:tx>
      <c:layout>
        <c:manualLayout>
          <c:xMode val="edge"/>
          <c:yMode val="edge"/>
          <c:x val="0.31130295927304696"/>
          <c:y val="0"/>
        </c:manualLayout>
      </c:layout>
      <c:overlay val="0"/>
    </c:title>
    <c:autoTitleDeleted val="0"/>
    <c:plotArea>
      <c:layout>
        <c:manualLayout>
          <c:layoutTarget val="inner"/>
          <c:xMode val="edge"/>
          <c:yMode val="edge"/>
          <c:x val="0.13368482064741907"/>
          <c:y val="0.10884194053208138"/>
          <c:w val="0.8357596237970254"/>
          <c:h val="0.53529752442916456"/>
        </c:manualLayout>
      </c:layout>
      <c:barChart>
        <c:barDir val="col"/>
        <c:grouping val="clustered"/>
        <c:varyColors val="0"/>
        <c:ser>
          <c:idx val="0"/>
          <c:order val="0"/>
          <c:tx>
            <c:strRef>
              <c:f>Foglio1!$B$4</c:f>
              <c:strCache>
                <c:ptCount val="1"/>
                <c:pt idx="0">
                  <c:v>2023</c:v>
                </c:pt>
              </c:strCache>
            </c:strRef>
          </c:tx>
          <c:spPr>
            <a:solidFill>
              <a:srgbClr val="FF0000"/>
            </a:solidFill>
          </c:spPr>
          <c:invertIfNegative val="0"/>
          <c:trendline>
            <c:spPr>
              <a:ln>
                <a:solidFill>
                  <a:srgbClr val="FF0000"/>
                </a:solidFill>
              </a:ln>
            </c:spPr>
            <c:trendlineType val="poly"/>
            <c:order val="4"/>
            <c:dispRSqr val="0"/>
            <c:dispEq val="0"/>
          </c:trendline>
          <c:cat>
            <c:strRef>
              <c:f>Foglio1!$C$2:$N$2</c:f>
              <c:strCache>
                <c:ptCount val="12"/>
                <c:pt idx="0">
                  <c:v>Gen</c:v>
                </c:pt>
                <c:pt idx="1">
                  <c:v>feb</c:v>
                </c:pt>
                <c:pt idx="2">
                  <c:v>mar</c:v>
                </c:pt>
                <c:pt idx="3">
                  <c:v>apr</c:v>
                </c:pt>
                <c:pt idx="4">
                  <c:v>mag</c:v>
                </c:pt>
                <c:pt idx="5">
                  <c:v>giu</c:v>
                </c:pt>
                <c:pt idx="6">
                  <c:v>lu</c:v>
                </c:pt>
                <c:pt idx="7">
                  <c:v>ag</c:v>
                </c:pt>
                <c:pt idx="8">
                  <c:v>set</c:v>
                </c:pt>
                <c:pt idx="9">
                  <c:v>ot</c:v>
                </c:pt>
                <c:pt idx="10">
                  <c:v>nov</c:v>
                </c:pt>
                <c:pt idx="11">
                  <c:v>dic</c:v>
                </c:pt>
              </c:strCache>
            </c:strRef>
          </c:cat>
          <c:val>
            <c:numRef>
              <c:f>Foglio1!$C$4:$N$4</c:f>
              <c:numCache>
                <c:formatCode>General</c:formatCode>
                <c:ptCount val="12"/>
                <c:pt idx="0">
                  <c:v>19.93</c:v>
                </c:pt>
                <c:pt idx="1">
                  <c:v>20.14</c:v>
                </c:pt>
                <c:pt idx="2">
                  <c:v>24.82</c:v>
                </c:pt>
                <c:pt idx="3">
                  <c:v>22.74</c:v>
                </c:pt>
                <c:pt idx="4">
                  <c:v>24.11</c:v>
                </c:pt>
                <c:pt idx="5">
                  <c:v>24.09</c:v>
                </c:pt>
                <c:pt idx="6">
                  <c:v>21.02</c:v>
                </c:pt>
                <c:pt idx="7">
                  <c:v>23.34</c:v>
                </c:pt>
                <c:pt idx="8">
                  <c:v>22.23</c:v>
                </c:pt>
                <c:pt idx="9" formatCode="0.00">
                  <c:v>21.42</c:v>
                </c:pt>
                <c:pt idx="10">
                  <c:v>19.03</c:v>
                </c:pt>
              </c:numCache>
            </c:numRef>
          </c:val>
          <c:extLst>
            <c:ext xmlns:c16="http://schemas.microsoft.com/office/drawing/2014/chart" uri="{C3380CC4-5D6E-409C-BE32-E72D297353CC}">
              <c16:uniqueId val="{00000000-E836-4803-AF79-53409272CCA1}"/>
            </c:ext>
          </c:extLst>
        </c:ser>
        <c:ser>
          <c:idx val="1"/>
          <c:order val="1"/>
          <c:tx>
            <c:strRef>
              <c:f>Foglio1!$B$5</c:f>
              <c:strCache>
                <c:ptCount val="1"/>
                <c:pt idx="0">
                  <c:v>2022</c:v>
                </c:pt>
              </c:strCache>
            </c:strRef>
          </c:tx>
          <c:spPr>
            <a:solidFill>
              <a:srgbClr val="FFFF00"/>
            </a:solidFill>
          </c:spPr>
          <c:invertIfNegative val="0"/>
          <c:trendline>
            <c:spPr>
              <a:ln w="28575">
                <a:solidFill>
                  <a:srgbClr val="FFFF00"/>
                </a:solidFill>
                <a:prstDash val="sysDot"/>
              </a:ln>
            </c:spPr>
            <c:trendlineType val="poly"/>
            <c:order val="3"/>
            <c:dispRSqr val="0"/>
            <c:dispEq val="0"/>
          </c:trendline>
          <c:cat>
            <c:strRef>
              <c:f>Foglio1!$C$2:$N$2</c:f>
              <c:strCache>
                <c:ptCount val="12"/>
                <c:pt idx="0">
                  <c:v>Gen</c:v>
                </c:pt>
                <c:pt idx="1">
                  <c:v>feb</c:v>
                </c:pt>
                <c:pt idx="2">
                  <c:v>mar</c:v>
                </c:pt>
                <c:pt idx="3">
                  <c:v>apr</c:v>
                </c:pt>
                <c:pt idx="4">
                  <c:v>mag</c:v>
                </c:pt>
                <c:pt idx="5">
                  <c:v>giu</c:v>
                </c:pt>
                <c:pt idx="6">
                  <c:v>lu</c:v>
                </c:pt>
                <c:pt idx="7">
                  <c:v>ag</c:v>
                </c:pt>
                <c:pt idx="8">
                  <c:v>set</c:v>
                </c:pt>
                <c:pt idx="9">
                  <c:v>ot</c:v>
                </c:pt>
                <c:pt idx="10">
                  <c:v>nov</c:v>
                </c:pt>
                <c:pt idx="11">
                  <c:v>dic</c:v>
                </c:pt>
              </c:strCache>
            </c:strRef>
          </c:cat>
          <c:val>
            <c:numRef>
              <c:f>Foglio1!$C$5:$N$5</c:f>
              <c:numCache>
                <c:formatCode>General</c:formatCode>
                <c:ptCount val="12"/>
                <c:pt idx="0">
                  <c:v>14.85</c:v>
                </c:pt>
                <c:pt idx="1">
                  <c:v>14.92</c:v>
                </c:pt>
                <c:pt idx="2">
                  <c:v>20.36</c:v>
                </c:pt>
                <c:pt idx="3">
                  <c:v>19.05</c:v>
                </c:pt>
                <c:pt idx="4">
                  <c:v>20.71</c:v>
                </c:pt>
                <c:pt idx="5">
                  <c:v>22.36</c:v>
                </c:pt>
                <c:pt idx="6">
                  <c:v>20.51</c:v>
                </c:pt>
                <c:pt idx="7">
                  <c:v>23.58</c:v>
                </c:pt>
                <c:pt idx="8">
                  <c:v>22.97</c:v>
                </c:pt>
                <c:pt idx="9" formatCode="0.00">
                  <c:v>22.68</c:v>
                </c:pt>
                <c:pt idx="10">
                  <c:v>23.08</c:v>
                </c:pt>
                <c:pt idx="11">
                  <c:v>29.21</c:v>
                </c:pt>
              </c:numCache>
            </c:numRef>
          </c:val>
          <c:extLst>
            <c:ext xmlns:c16="http://schemas.microsoft.com/office/drawing/2014/chart" uri="{C3380CC4-5D6E-409C-BE32-E72D297353CC}">
              <c16:uniqueId val="{00000002-E836-4803-AF79-53409272CCA1}"/>
            </c:ext>
          </c:extLst>
        </c:ser>
        <c:ser>
          <c:idx val="2"/>
          <c:order val="2"/>
          <c:tx>
            <c:strRef>
              <c:f>Foglio1!$B$6</c:f>
              <c:strCache>
                <c:ptCount val="1"/>
                <c:pt idx="0">
                  <c:v>2021</c:v>
                </c:pt>
              </c:strCache>
            </c:strRef>
          </c:tx>
          <c:spPr>
            <a:solidFill>
              <a:srgbClr val="00B050"/>
            </a:solidFill>
            <a:ln>
              <a:solidFill>
                <a:srgbClr val="00B050"/>
              </a:solidFill>
            </a:ln>
          </c:spPr>
          <c:invertIfNegative val="0"/>
          <c:trendline>
            <c:spPr>
              <a:ln w="28575">
                <a:solidFill>
                  <a:srgbClr val="00B050"/>
                </a:solidFill>
                <a:prstDash val="sysDash"/>
              </a:ln>
            </c:spPr>
            <c:trendlineType val="poly"/>
            <c:order val="3"/>
            <c:dispRSqr val="0"/>
            <c:dispEq val="0"/>
          </c:trendline>
          <c:cat>
            <c:strRef>
              <c:f>Foglio1!$C$2:$N$2</c:f>
              <c:strCache>
                <c:ptCount val="12"/>
                <c:pt idx="0">
                  <c:v>Gen</c:v>
                </c:pt>
                <c:pt idx="1">
                  <c:v>feb</c:v>
                </c:pt>
                <c:pt idx="2">
                  <c:v>mar</c:v>
                </c:pt>
                <c:pt idx="3">
                  <c:v>apr</c:v>
                </c:pt>
                <c:pt idx="4">
                  <c:v>mag</c:v>
                </c:pt>
                <c:pt idx="5">
                  <c:v>giu</c:v>
                </c:pt>
                <c:pt idx="6">
                  <c:v>lu</c:v>
                </c:pt>
                <c:pt idx="7">
                  <c:v>ag</c:v>
                </c:pt>
                <c:pt idx="8">
                  <c:v>set</c:v>
                </c:pt>
                <c:pt idx="9">
                  <c:v>ot</c:v>
                </c:pt>
                <c:pt idx="10">
                  <c:v>nov</c:v>
                </c:pt>
                <c:pt idx="11">
                  <c:v>dic</c:v>
                </c:pt>
              </c:strCache>
            </c:strRef>
          </c:cat>
          <c:val>
            <c:numRef>
              <c:f>Foglio1!$C$6:$N$6</c:f>
              <c:numCache>
                <c:formatCode>General</c:formatCode>
                <c:ptCount val="12"/>
                <c:pt idx="0">
                  <c:v>16.84</c:v>
                </c:pt>
                <c:pt idx="1">
                  <c:v>15.37</c:v>
                </c:pt>
                <c:pt idx="2">
                  <c:v>22.03</c:v>
                </c:pt>
                <c:pt idx="3">
                  <c:v>19.32</c:v>
                </c:pt>
                <c:pt idx="4">
                  <c:v>18.190000000000001</c:v>
                </c:pt>
                <c:pt idx="5">
                  <c:v>19.84</c:v>
                </c:pt>
                <c:pt idx="6">
                  <c:v>16.82</c:v>
                </c:pt>
                <c:pt idx="7">
                  <c:v>18.18</c:v>
                </c:pt>
                <c:pt idx="8">
                  <c:v>17.13</c:v>
                </c:pt>
                <c:pt idx="9" formatCode="0.00">
                  <c:v>17</c:v>
                </c:pt>
                <c:pt idx="10">
                  <c:v>16.54</c:v>
                </c:pt>
                <c:pt idx="11">
                  <c:v>24.72</c:v>
                </c:pt>
              </c:numCache>
            </c:numRef>
          </c:val>
          <c:extLst>
            <c:ext xmlns:c16="http://schemas.microsoft.com/office/drawing/2014/chart" uri="{C3380CC4-5D6E-409C-BE32-E72D297353CC}">
              <c16:uniqueId val="{00000004-E836-4803-AF79-53409272CCA1}"/>
            </c:ext>
          </c:extLst>
        </c:ser>
        <c:ser>
          <c:idx val="3"/>
          <c:order val="3"/>
          <c:tx>
            <c:strRef>
              <c:f>Foglio1!$B$7</c:f>
              <c:strCache>
                <c:ptCount val="1"/>
                <c:pt idx="0">
                  <c:v>2020</c:v>
                </c:pt>
              </c:strCache>
            </c:strRef>
          </c:tx>
          <c:spPr>
            <a:solidFill>
              <a:schemeClr val="accent6"/>
            </a:solidFill>
          </c:spPr>
          <c:invertIfNegative val="0"/>
          <c:trendline>
            <c:spPr>
              <a:ln w="28575">
                <a:solidFill>
                  <a:schemeClr val="accent6"/>
                </a:solidFill>
                <a:prstDash val="sysDot"/>
              </a:ln>
            </c:spPr>
            <c:trendlineType val="poly"/>
            <c:order val="3"/>
            <c:dispRSqr val="0"/>
            <c:dispEq val="0"/>
          </c:trendline>
          <c:cat>
            <c:strRef>
              <c:f>Foglio1!$C$2:$N$2</c:f>
              <c:strCache>
                <c:ptCount val="12"/>
                <c:pt idx="0">
                  <c:v>Gen</c:v>
                </c:pt>
                <c:pt idx="1">
                  <c:v>feb</c:v>
                </c:pt>
                <c:pt idx="2">
                  <c:v>mar</c:v>
                </c:pt>
                <c:pt idx="3">
                  <c:v>apr</c:v>
                </c:pt>
                <c:pt idx="4">
                  <c:v>mag</c:v>
                </c:pt>
                <c:pt idx="5">
                  <c:v>giu</c:v>
                </c:pt>
                <c:pt idx="6">
                  <c:v>lu</c:v>
                </c:pt>
                <c:pt idx="7">
                  <c:v>ag</c:v>
                </c:pt>
                <c:pt idx="8">
                  <c:v>set</c:v>
                </c:pt>
                <c:pt idx="9">
                  <c:v>ot</c:v>
                </c:pt>
                <c:pt idx="10">
                  <c:v>nov</c:v>
                </c:pt>
                <c:pt idx="11">
                  <c:v>dic</c:v>
                </c:pt>
              </c:strCache>
            </c:strRef>
          </c:cat>
          <c:val>
            <c:numRef>
              <c:f>Foglio1!$C$7:$N$7</c:f>
              <c:numCache>
                <c:formatCode>General</c:formatCode>
                <c:ptCount val="12"/>
                <c:pt idx="0">
                  <c:v>15.64</c:v>
                </c:pt>
                <c:pt idx="1">
                  <c:v>15.46</c:v>
                </c:pt>
                <c:pt idx="2">
                  <c:v>16.48</c:v>
                </c:pt>
                <c:pt idx="3">
                  <c:v>12.64</c:v>
                </c:pt>
                <c:pt idx="4">
                  <c:v>9.17</c:v>
                </c:pt>
                <c:pt idx="5">
                  <c:v>13.28</c:v>
                </c:pt>
                <c:pt idx="6">
                  <c:v>14.46</c:v>
                </c:pt>
                <c:pt idx="7">
                  <c:v>17.690000000000001</c:v>
                </c:pt>
                <c:pt idx="8">
                  <c:v>19.13</c:v>
                </c:pt>
                <c:pt idx="9">
                  <c:v>18.8</c:v>
                </c:pt>
                <c:pt idx="10">
                  <c:v>17.88</c:v>
                </c:pt>
                <c:pt idx="11">
                  <c:v>21.4</c:v>
                </c:pt>
              </c:numCache>
            </c:numRef>
          </c:val>
          <c:extLst>
            <c:ext xmlns:c16="http://schemas.microsoft.com/office/drawing/2014/chart" uri="{C3380CC4-5D6E-409C-BE32-E72D297353CC}">
              <c16:uniqueId val="{00000006-E836-4803-AF79-53409272CCA1}"/>
            </c:ext>
          </c:extLst>
        </c:ser>
        <c:ser>
          <c:idx val="4"/>
          <c:order val="4"/>
          <c:tx>
            <c:strRef>
              <c:f>Foglio1!$B$8</c:f>
              <c:strCache>
                <c:ptCount val="1"/>
                <c:pt idx="0">
                  <c:v>2019</c:v>
                </c:pt>
              </c:strCache>
            </c:strRef>
          </c:tx>
          <c:invertIfNegative val="0"/>
          <c:trendline>
            <c:spPr>
              <a:ln w="28575">
                <a:solidFill>
                  <a:srgbClr val="00B0F0"/>
                </a:solidFill>
                <a:prstDash val="dash"/>
              </a:ln>
            </c:spPr>
            <c:trendlineType val="poly"/>
            <c:order val="3"/>
            <c:dispRSqr val="0"/>
            <c:dispEq val="0"/>
          </c:trendline>
          <c:cat>
            <c:strRef>
              <c:f>Foglio1!$C$2:$N$2</c:f>
              <c:strCache>
                <c:ptCount val="12"/>
                <c:pt idx="0">
                  <c:v>Gen</c:v>
                </c:pt>
                <c:pt idx="1">
                  <c:v>feb</c:v>
                </c:pt>
                <c:pt idx="2">
                  <c:v>mar</c:v>
                </c:pt>
                <c:pt idx="3">
                  <c:v>apr</c:v>
                </c:pt>
                <c:pt idx="4">
                  <c:v>mag</c:v>
                </c:pt>
                <c:pt idx="5">
                  <c:v>giu</c:v>
                </c:pt>
                <c:pt idx="6">
                  <c:v>lu</c:v>
                </c:pt>
                <c:pt idx="7">
                  <c:v>ag</c:v>
                </c:pt>
                <c:pt idx="8">
                  <c:v>set</c:v>
                </c:pt>
                <c:pt idx="9">
                  <c:v>ot</c:v>
                </c:pt>
                <c:pt idx="10">
                  <c:v>nov</c:v>
                </c:pt>
                <c:pt idx="11">
                  <c:v>dic</c:v>
                </c:pt>
              </c:strCache>
            </c:strRef>
          </c:cat>
          <c:val>
            <c:numRef>
              <c:f>Foglio1!$C$8:$N$8</c:f>
              <c:numCache>
                <c:formatCode>General</c:formatCode>
                <c:ptCount val="12"/>
                <c:pt idx="0" formatCode="0.00">
                  <c:v>20.190000000000001</c:v>
                </c:pt>
                <c:pt idx="1">
                  <c:v>19.86</c:v>
                </c:pt>
                <c:pt idx="2">
                  <c:v>22.83</c:v>
                </c:pt>
                <c:pt idx="3" formatCode="0.00">
                  <c:v>24.02</c:v>
                </c:pt>
                <c:pt idx="4">
                  <c:v>24.42</c:v>
                </c:pt>
                <c:pt idx="5">
                  <c:v>23.5</c:v>
                </c:pt>
                <c:pt idx="6">
                  <c:v>25.16</c:v>
                </c:pt>
                <c:pt idx="7">
                  <c:v>23.47</c:v>
                </c:pt>
                <c:pt idx="8">
                  <c:v>28.26</c:v>
                </c:pt>
                <c:pt idx="9">
                  <c:v>23</c:v>
                </c:pt>
                <c:pt idx="10">
                  <c:v>18.55</c:v>
                </c:pt>
                <c:pt idx="11">
                  <c:v>23.12</c:v>
                </c:pt>
              </c:numCache>
            </c:numRef>
          </c:val>
          <c:extLst>
            <c:ext xmlns:c16="http://schemas.microsoft.com/office/drawing/2014/chart" uri="{C3380CC4-5D6E-409C-BE32-E72D297353CC}">
              <c16:uniqueId val="{00000008-E836-4803-AF79-53409272CCA1}"/>
            </c:ext>
          </c:extLst>
        </c:ser>
        <c:dLbls>
          <c:showLegendKey val="0"/>
          <c:showVal val="0"/>
          <c:showCatName val="0"/>
          <c:showSerName val="0"/>
          <c:showPercent val="0"/>
          <c:showBubbleSize val="0"/>
        </c:dLbls>
        <c:gapWidth val="150"/>
        <c:axId val="-886354048"/>
        <c:axId val="-886357312"/>
      </c:barChart>
      <c:catAx>
        <c:axId val="-886354048"/>
        <c:scaling>
          <c:orientation val="minMax"/>
        </c:scaling>
        <c:delete val="0"/>
        <c:axPos val="b"/>
        <c:numFmt formatCode="General" sourceLinked="0"/>
        <c:majorTickMark val="out"/>
        <c:minorTickMark val="none"/>
        <c:tickLblPos val="nextTo"/>
        <c:crossAx val="-886357312"/>
        <c:crosses val="autoZero"/>
        <c:auto val="1"/>
        <c:lblAlgn val="ctr"/>
        <c:lblOffset val="100"/>
        <c:noMultiLvlLbl val="0"/>
      </c:catAx>
      <c:valAx>
        <c:axId val="-886357312"/>
        <c:scaling>
          <c:orientation val="minMax"/>
          <c:max val="30"/>
          <c:min val="8"/>
        </c:scaling>
        <c:delete val="0"/>
        <c:axPos val="l"/>
        <c:majorGridlines/>
        <c:title>
          <c:tx>
            <c:rich>
              <a:bodyPr rot="0" vert="wordArtVert"/>
              <a:lstStyle/>
              <a:p>
                <a:pPr>
                  <a:defRPr sz="800"/>
                </a:pPr>
                <a:r>
                  <a:rPr lang="it" sz="800"/>
                  <a:t>mille unità</a:t>
                </a:r>
              </a:p>
            </c:rich>
          </c:tx>
          <c:layout>
            <c:manualLayout>
              <c:xMode val="edge"/>
              <c:yMode val="edge"/>
              <c:x val="2.2222222222222223E-2"/>
              <c:y val="0.12128325508607199"/>
            </c:manualLayout>
          </c:layout>
          <c:overlay val="0"/>
        </c:title>
        <c:numFmt formatCode="General" sourceLinked="0"/>
        <c:majorTickMark val="out"/>
        <c:minorTickMark val="none"/>
        <c:tickLblPos val="nextTo"/>
        <c:txPr>
          <a:bodyPr/>
          <a:lstStyle/>
          <a:p>
            <a:pPr>
              <a:defRPr sz="800" b="1"/>
            </a:pPr>
            <a:endParaRPr lang="it-IT"/>
          </a:p>
        </c:txPr>
        <c:crossAx val="-886354048"/>
        <c:crosses val="autoZero"/>
        <c:crossBetween val="between"/>
        <c:majorUnit val="5"/>
      </c:valAx>
      <c:dTable>
        <c:showHorzBorder val="1"/>
        <c:showVertBorder val="1"/>
        <c:showOutline val="1"/>
        <c:showKeys val="1"/>
        <c:txPr>
          <a:bodyPr/>
          <a:lstStyle/>
          <a:p>
            <a:pPr rtl="0">
              <a:defRPr sz="900" b="1"/>
            </a:pPr>
            <a:endParaRPr lang="it-IT"/>
          </a:p>
        </c:txPr>
      </c:dTable>
      <c:spPr>
        <a:solidFill>
          <a:schemeClr val="bg1">
            <a:lumMod val="85000"/>
          </a:schemeClr>
        </a:soli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Vendite classe 8 per mese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spPr>
            <a:ln w="28575" cap="rnd">
              <a:solidFill>
                <a:srgbClr val="FF0000"/>
              </a:solidFill>
              <a:round/>
            </a:ln>
            <a:effectLst/>
          </c:spPr>
          <c:marker>
            <c:symbol val="none"/>
          </c:marker>
          <c:trendline>
            <c:spPr>
              <a:ln w="19050" cap="rnd">
                <a:solidFill>
                  <a:schemeClr val="accent1"/>
                </a:solidFill>
                <a:prstDash val="sysDot"/>
              </a:ln>
              <a:effectLst/>
            </c:spPr>
            <c:trendlineType val="poly"/>
            <c:order val="4"/>
            <c:dispRSqr val="0"/>
            <c:dispEq val="0"/>
          </c:trendline>
          <c:trendline>
            <c:spPr>
              <a:ln w="38100" cap="rnd">
                <a:solidFill>
                  <a:srgbClr val="0070C0"/>
                </a:solidFill>
                <a:prstDash val="sysDot"/>
              </a:ln>
              <a:effectLst/>
            </c:spPr>
            <c:trendlineType val="poly"/>
            <c:order val="4"/>
            <c:dispRSqr val="0"/>
            <c:dispEq val="0"/>
          </c:trendline>
          <c:cat>
            <c:strRef>
              <c:f>'[Grafico in Microsoft Word]Foglio1'!$A$2:$CQ$2</c:f>
              <c:strCache>
                <c:ptCount val="95"/>
                <c:pt idx="0">
                  <c:v>gen-16</c:v>
                </c:pt>
                <c:pt idx="1">
                  <c:v>feb</c:v>
                </c:pt>
                <c:pt idx="2">
                  <c:v>mar</c:v>
                </c:pt>
                <c:pt idx="3">
                  <c:v>apr</c:v>
                </c:pt>
                <c:pt idx="4">
                  <c:v>mag</c:v>
                </c:pt>
                <c:pt idx="5">
                  <c:v>giu</c:v>
                </c:pt>
                <c:pt idx="6">
                  <c:v>lug</c:v>
                </c:pt>
                <c:pt idx="7">
                  <c:v>ag</c:v>
                </c:pt>
                <c:pt idx="8">
                  <c:v>set</c:v>
                </c:pt>
                <c:pt idx="9">
                  <c:v>ot</c:v>
                </c:pt>
                <c:pt idx="10">
                  <c:v>nov </c:v>
                </c:pt>
                <c:pt idx="11">
                  <c:v>dic</c:v>
                </c:pt>
                <c:pt idx="12">
                  <c:v>gen-17</c:v>
                </c:pt>
                <c:pt idx="13">
                  <c:v>feb</c:v>
                </c:pt>
                <c:pt idx="14">
                  <c:v>mar</c:v>
                </c:pt>
                <c:pt idx="15">
                  <c:v>apr</c:v>
                </c:pt>
                <c:pt idx="16">
                  <c:v>mag</c:v>
                </c:pt>
                <c:pt idx="17">
                  <c:v>giu</c:v>
                </c:pt>
                <c:pt idx="18">
                  <c:v>lug</c:v>
                </c:pt>
                <c:pt idx="19">
                  <c:v>ag</c:v>
                </c:pt>
                <c:pt idx="20">
                  <c:v>set</c:v>
                </c:pt>
                <c:pt idx="21">
                  <c:v>ot</c:v>
                </c:pt>
                <c:pt idx="22">
                  <c:v>nov </c:v>
                </c:pt>
                <c:pt idx="23">
                  <c:v>dic</c:v>
                </c:pt>
                <c:pt idx="24">
                  <c:v>gen-18</c:v>
                </c:pt>
                <c:pt idx="25">
                  <c:v>feb</c:v>
                </c:pt>
                <c:pt idx="26">
                  <c:v>mar</c:v>
                </c:pt>
                <c:pt idx="27">
                  <c:v>apr</c:v>
                </c:pt>
                <c:pt idx="28">
                  <c:v>mag</c:v>
                </c:pt>
                <c:pt idx="29">
                  <c:v>giu</c:v>
                </c:pt>
                <c:pt idx="30">
                  <c:v>lu</c:v>
                </c:pt>
                <c:pt idx="31">
                  <c:v>ag</c:v>
                </c:pt>
                <c:pt idx="32">
                  <c:v>set</c:v>
                </c:pt>
                <c:pt idx="33">
                  <c:v>ot</c:v>
                </c:pt>
                <c:pt idx="34">
                  <c:v>nov</c:v>
                </c:pt>
                <c:pt idx="35">
                  <c:v>dic</c:v>
                </c:pt>
                <c:pt idx="36">
                  <c:v>gen-19</c:v>
                </c:pt>
                <c:pt idx="37">
                  <c:v>feb</c:v>
                </c:pt>
                <c:pt idx="38">
                  <c:v>mar</c:v>
                </c:pt>
                <c:pt idx="39">
                  <c:v>apr</c:v>
                </c:pt>
                <c:pt idx="40">
                  <c:v>mag</c:v>
                </c:pt>
                <c:pt idx="41">
                  <c:v>giu</c:v>
                </c:pt>
                <c:pt idx="42">
                  <c:v>lu</c:v>
                </c:pt>
                <c:pt idx="43">
                  <c:v>ag</c:v>
                </c:pt>
                <c:pt idx="44">
                  <c:v>set</c:v>
                </c:pt>
                <c:pt idx="45">
                  <c:v>ot</c:v>
                </c:pt>
                <c:pt idx="46">
                  <c:v>nov</c:v>
                </c:pt>
                <c:pt idx="47">
                  <c:v>dic</c:v>
                </c:pt>
                <c:pt idx="48">
                  <c:v>gen-20</c:v>
                </c:pt>
                <c:pt idx="49">
                  <c:v>feb</c:v>
                </c:pt>
                <c:pt idx="50">
                  <c:v>mar</c:v>
                </c:pt>
                <c:pt idx="51">
                  <c:v>apr</c:v>
                </c:pt>
                <c:pt idx="52">
                  <c:v>mag</c:v>
                </c:pt>
                <c:pt idx="53">
                  <c:v>giu</c:v>
                </c:pt>
                <c:pt idx="54">
                  <c:v>lu</c:v>
                </c:pt>
                <c:pt idx="55">
                  <c:v>ag</c:v>
                </c:pt>
                <c:pt idx="56">
                  <c:v>set</c:v>
                </c:pt>
                <c:pt idx="57">
                  <c:v>ot</c:v>
                </c:pt>
                <c:pt idx="58">
                  <c:v>nov</c:v>
                </c:pt>
                <c:pt idx="59">
                  <c:v>dic</c:v>
                </c:pt>
                <c:pt idx="60">
                  <c:v>gen-21</c:v>
                </c:pt>
                <c:pt idx="61">
                  <c:v>feb</c:v>
                </c:pt>
                <c:pt idx="62">
                  <c:v>mar</c:v>
                </c:pt>
                <c:pt idx="63">
                  <c:v>apr</c:v>
                </c:pt>
                <c:pt idx="64">
                  <c:v>mag</c:v>
                </c:pt>
                <c:pt idx="65">
                  <c:v>giu</c:v>
                </c:pt>
                <c:pt idx="66">
                  <c:v>lu</c:v>
                </c:pt>
                <c:pt idx="67">
                  <c:v>ag</c:v>
                </c:pt>
                <c:pt idx="68">
                  <c:v>set</c:v>
                </c:pt>
                <c:pt idx="69">
                  <c:v>ott</c:v>
                </c:pt>
                <c:pt idx="70">
                  <c:v>nov</c:v>
                </c:pt>
                <c:pt idx="71">
                  <c:v>dic</c:v>
                </c:pt>
                <c:pt idx="72">
                  <c:v>gen-22</c:v>
                </c:pt>
                <c:pt idx="73">
                  <c:v>feb</c:v>
                </c:pt>
                <c:pt idx="74">
                  <c:v>mar</c:v>
                </c:pt>
                <c:pt idx="75">
                  <c:v>apr</c:v>
                </c:pt>
                <c:pt idx="76">
                  <c:v>mag</c:v>
                </c:pt>
                <c:pt idx="77">
                  <c:v>giu</c:v>
                </c:pt>
                <c:pt idx="78">
                  <c:v>lu </c:v>
                </c:pt>
                <c:pt idx="79">
                  <c:v>ago</c:v>
                </c:pt>
                <c:pt idx="80">
                  <c:v>set</c:v>
                </c:pt>
                <c:pt idx="81">
                  <c:v>oct</c:v>
                </c:pt>
                <c:pt idx="82">
                  <c:v>nov</c:v>
                </c:pt>
                <c:pt idx="83">
                  <c:v>dec</c:v>
                </c:pt>
                <c:pt idx="84">
                  <c:v>gen-23</c:v>
                </c:pt>
                <c:pt idx="85">
                  <c:v>feb</c:v>
                </c:pt>
                <c:pt idx="86">
                  <c:v>mar</c:v>
                </c:pt>
                <c:pt idx="87">
                  <c:v>apr</c:v>
                </c:pt>
                <c:pt idx="88">
                  <c:v>mag </c:v>
                </c:pt>
                <c:pt idx="89">
                  <c:v>giu</c:v>
                </c:pt>
                <c:pt idx="90">
                  <c:v>lu </c:v>
                </c:pt>
                <c:pt idx="91">
                  <c:v>ago </c:v>
                </c:pt>
                <c:pt idx="92">
                  <c:v>sett</c:v>
                </c:pt>
                <c:pt idx="93">
                  <c:v>ott</c:v>
                </c:pt>
                <c:pt idx="94">
                  <c:v>nov</c:v>
                </c:pt>
              </c:strCache>
            </c:strRef>
          </c:cat>
          <c:val>
            <c:numRef>
              <c:f>'[Grafico in Microsoft Word]Foglio1'!$A$3:$CQ$3</c:f>
              <c:numCache>
                <c:formatCode>0.00</c:formatCode>
                <c:ptCount val="95"/>
                <c:pt idx="0">
                  <c:v>15.95</c:v>
                </c:pt>
                <c:pt idx="1">
                  <c:v>15.88</c:v>
                </c:pt>
                <c:pt idx="2">
                  <c:v>20.03</c:v>
                </c:pt>
                <c:pt idx="3">
                  <c:v>16.63</c:v>
                </c:pt>
                <c:pt idx="4">
                  <c:v>17.309999999999999</c:v>
                </c:pt>
                <c:pt idx="5">
                  <c:v>18.350000000000001</c:v>
                </c:pt>
                <c:pt idx="6">
                  <c:v>14.09</c:v>
                </c:pt>
                <c:pt idx="7">
                  <c:v>16.260000000000002</c:v>
                </c:pt>
                <c:pt idx="8">
                  <c:v>14.97</c:v>
                </c:pt>
                <c:pt idx="9">
                  <c:v>13.62</c:v>
                </c:pt>
                <c:pt idx="10">
                  <c:v>13.94</c:v>
                </c:pt>
                <c:pt idx="11">
                  <c:v>15.63</c:v>
                </c:pt>
                <c:pt idx="12">
                  <c:v>10.94</c:v>
                </c:pt>
                <c:pt idx="13">
                  <c:v>11.2</c:v>
                </c:pt>
                <c:pt idx="14">
                  <c:v>14.8</c:v>
                </c:pt>
                <c:pt idx="15">
                  <c:v>13.84</c:v>
                </c:pt>
                <c:pt idx="16">
                  <c:v>16.25</c:v>
                </c:pt>
                <c:pt idx="17">
                  <c:v>17.309999999999999</c:v>
                </c:pt>
                <c:pt idx="18">
                  <c:v>15.32</c:v>
                </c:pt>
                <c:pt idx="19">
                  <c:v>17.170000000000002</c:v>
                </c:pt>
                <c:pt idx="20">
                  <c:v>17.670000000000002</c:v>
                </c:pt>
                <c:pt idx="21">
                  <c:v>17.93</c:v>
                </c:pt>
                <c:pt idx="22">
                  <c:v>17.489999999999998</c:v>
                </c:pt>
                <c:pt idx="23">
                  <c:v>22.36</c:v>
                </c:pt>
                <c:pt idx="24">
                  <c:v>14.46</c:v>
                </c:pt>
                <c:pt idx="25">
                  <c:v>16.690000000000001</c:v>
                </c:pt>
                <c:pt idx="26">
                  <c:v>19.38</c:v>
                </c:pt>
                <c:pt idx="27">
                  <c:v>18.95</c:v>
                </c:pt>
                <c:pt idx="28">
                  <c:v>19.2</c:v>
                </c:pt>
                <c:pt idx="29">
                  <c:v>21.35</c:v>
                </c:pt>
                <c:pt idx="30">
                  <c:v>20.65</c:v>
                </c:pt>
                <c:pt idx="31">
                  <c:v>23.92</c:v>
                </c:pt>
                <c:pt idx="32">
                  <c:v>23.65</c:v>
                </c:pt>
                <c:pt idx="33">
                  <c:v>25.01</c:v>
                </c:pt>
                <c:pt idx="34">
                  <c:v>21.3</c:v>
                </c:pt>
                <c:pt idx="35">
                  <c:v>26.08</c:v>
                </c:pt>
                <c:pt idx="36">
                  <c:v>20.190000000000001</c:v>
                </c:pt>
                <c:pt idx="37" formatCode="General">
                  <c:v>19.86</c:v>
                </c:pt>
                <c:pt idx="38" formatCode="General">
                  <c:v>22.83</c:v>
                </c:pt>
                <c:pt idx="39">
                  <c:v>24.02</c:v>
                </c:pt>
                <c:pt idx="40" formatCode="General">
                  <c:v>24.42</c:v>
                </c:pt>
                <c:pt idx="41" formatCode="General">
                  <c:v>23.5</c:v>
                </c:pt>
                <c:pt idx="42" formatCode="General">
                  <c:v>25.16</c:v>
                </c:pt>
                <c:pt idx="43" formatCode="General">
                  <c:v>23.47</c:v>
                </c:pt>
                <c:pt idx="44" formatCode="General">
                  <c:v>28.26</c:v>
                </c:pt>
                <c:pt idx="45" formatCode="General">
                  <c:v>23</c:v>
                </c:pt>
                <c:pt idx="46" formatCode="General">
                  <c:v>18.55</c:v>
                </c:pt>
                <c:pt idx="47" formatCode="General">
                  <c:v>23.12</c:v>
                </c:pt>
                <c:pt idx="48" formatCode="General">
                  <c:v>15.64</c:v>
                </c:pt>
                <c:pt idx="49" formatCode="General">
                  <c:v>15.46</c:v>
                </c:pt>
                <c:pt idx="50" formatCode="General">
                  <c:v>16.48</c:v>
                </c:pt>
                <c:pt idx="51" formatCode="General">
                  <c:v>12.64</c:v>
                </c:pt>
                <c:pt idx="52" formatCode="General">
                  <c:v>9.17</c:v>
                </c:pt>
                <c:pt idx="53" formatCode="General">
                  <c:v>13.28</c:v>
                </c:pt>
                <c:pt idx="54" formatCode="General">
                  <c:v>14.46</c:v>
                </c:pt>
                <c:pt idx="55" formatCode="General">
                  <c:v>18.12</c:v>
                </c:pt>
                <c:pt idx="56" formatCode="General">
                  <c:v>19.13</c:v>
                </c:pt>
                <c:pt idx="57" formatCode="General">
                  <c:v>18.7</c:v>
                </c:pt>
                <c:pt idx="58" formatCode="General">
                  <c:v>17.88</c:v>
                </c:pt>
                <c:pt idx="59" formatCode="General">
                  <c:v>21.4</c:v>
                </c:pt>
                <c:pt idx="60" formatCode="General">
                  <c:v>16.84</c:v>
                </c:pt>
                <c:pt idx="61" formatCode="General">
                  <c:v>15.37</c:v>
                </c:pt>
                <c:pt idx="62" formatCode="General">
                  <c:v>22.03</c:v>
                </c:pt>
                <c:pt idx="63" formatCode="General">
                  <c:v>19.32</c:v>
                </c:pt>
                <c:pt idx="64" formatCode="General">
                  <c:v>18.190000000000001</c:v>
                </c:pt>
                <c:pt idx="65" formatCode="General">
                  <c:v>19.84</c:v>
                </c:pt>
                <c:pt idx="66" formatCode="General">
                  <c:v>16.82</c:v>
                </c:pt>
                <c:pt idx="67" formatCode="General">
                  <c:v>18.18</c:v>
                </c:pt>
                <c:pt idx="68" formatCode="General">
                  <c:v>17.13</c:v>
                </c:pt>
                <c:pt idx="69" formatCode="General">
                  <c:v>17</c:v>
                </c:pt>
                <c:pt idx="70" formatCode="General">
                  <c:v>16.54</c:v>
                </c:pt>
                <c:pt idx="71" formatCode="General">
                  <c:v>24.72</c:v>
                </c:pt>
                <c:pt idx="72" formatCode="General">
                  <c:v>14.85</c:v>
                </c:pt>
                <c:pt idx="73" formatCode="General">
                  <c:v>14.92</c:v>
                </c:pt>
                <c:pt idx="74" formatCode="General">
                  <c:v>20.36</c:v>
                </c:pt>
                <c:pt idx="75" formatCode="General">
                  <c:v>19.05</c:v>
                </c:pt>
                <c:pt idx="76" formatCode="General">
                  <c:v>20.71</c:v>
                </c:pt>
                <c:pt idx="77" formatCode="General">
                  <c:v>22.56</c:v>
                </c:pt>
                <c:pt idx="78" formatCode="General">
                  <c:v>20.51</c:v>
                </c:pt>
                <c:pt idx="79" formatCode="General">
                  <c:v>23.58</c:v>
                </c:pt>
                <c:pt idx="80" formatCode="General">
                  <c:v>22.97</c:v>
                </c:pt>
                <c:pt idx="81" formatCode="General">
                  <c:v>22.86</c:v>
                </c:pt>
                <c:pt idx="82" formatCode="General">
                  <c:v>23.08</c:v>
                </c:pt>
                <c:pt idx="83" formatCode="General">
                  <c:v>29.213999999999999</c:v>
                </c:pt>
                <c:pt idx="84" formatCode="General">
                  <c:v>19.93</c:v>
                </c:pt>
                <c:pt idx="85" formatCode="General">
                  <c:v>20.14</c:v>
                </c:pt>
                <c:pt idx="86" formatCode="General">
                  <c:v>24.82</c:v>
                </c:pt>
                <c:pt idx="87" formatCode="General">
                  <c:v>22.74</c:v>
                </c:pt>
                <c:pt idx="88" formatCode="General">
                  <c:v>24.11</c:v>
                </c:pt>
                <c:pt idx="89" formatCode="General">
                  <c:v>24.09</c:v>
                </c:pt>
                <c:pt idx="90" formatCode="General">
                  <c:v>21.02</c:v>
                </c:pt>
                <c:pt idx="91" formatCode="General">
                  <c:v>23.34</c:v>
                </c:pt>
                <c:pt idx="92" formatCode="General">
                  <c:v>22.23</c:v>
                </c:pt>
                <c:pt idx="93" formatCode="General">
                  <c:v>21.42</c:v>
                </c:pt>
                <c:pt idx="94" formatCode="General">
                  <c:v>19.03</c:v>
                </c:pt>
              </c:numCache>
            </c:numRef>
          </c:val>
          <c:smooth val="0"/>
          <c:extLst>
            <c:ext xmlns:c16="http://schemas.microsoft.com/office/drawing/2014/chart" uri="{C3380CC4-5D6E-409C-BE32-E72D297353CC}">
              <c16:uniqueId val="{00000002-C96D-4A6F-974D-EC5C932DA877}"/>
            </c:ext>
          </c:extLst>
        </c:ser>
        <c:dLbls>
          <c:showLegendKey val="0"/>
          <c:showVal val="0"/>
          <c:showCatName val="0"/>
          <c:showSerName val="0"/>
          <c:showPercent val="0"/>
          <c:showBubbleSize val="0"/>
        </c:dLbls>
        <c:smooth val="0"/>
        <c:axId val="1092880608"/>
        <c:axId val="1092860224"/>
      </c:lineChart>
      <c:catAx>
        <c:axId val="10928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2860224"/>
        <c:crosses val="autoZero"/>
        <c:auto val="1"/>
        <c:lblAlgn val="ctr"/>
        <c:lblOffset val="100"/>
        <c:noMultiLvlLbl val="0"/>
      </c:catAx>
      <c:valAx>
        <c:axId val="1092860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2880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71</TotalTime>
  <Pages>2</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Emilio</cp:lastModifiedBy>
  <cp:revision>2</cp:revision>
  <dcterms:created xsi:type="dcterms:W3CDTF">2023-12-15T16:32:00Z</dcterms:created>
  <dcterms:modified xsi:type="dcterms:W3CDTF">2023-12-15T17:52:00Z</dcterms:modified>
</cp:coreProperties>
</file>