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491A64" w:rsidRPr="00AC3693" w:rsidRDefault="00491A64" w:rsidP="00491A64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AC3693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</w:t>
      </w:r>
      <w:r w:rsidRPr="00CB39FE">
        <w:rPr>
          <w:rFonts w:ascii="Calibri" w:eastAsia="Times New Roman" w:hAnsi="Calibri" w:cs="Calibri"/>
          <w:b/>
          <w:noProof/>
          <w:sz w:val="24"/>
          <w:szCs w:val="24"/>
          <w:lang w:val="en-GB" w:eastAsia="en-GB"/>
        </w:rPr>
        <w:drawing>
          <wp:inline distT="0" distB="0" distL="0" distR="0" wp14:anchorId="03F2F861" wp14:editId="1B2F4A27">
            <wp:extent cx="3284855" cy="801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93">
        <w:rPr>
          <w:rFonts w:ascii="Calibri" w:eastAsia="Times New Roman" w:hAnsi="Calibri" w:cs="Calibri"/>
          <w:b/>
          <w:sz w:val="24"/>
          <w:szCs w:val="24"/>
        </w:rPr>
        <w:t xml:space="preserve">                       </w:t>
      </w:r>
    </w:p>
    <w:p w:rsidR="00491A64" w:rsidRPr="00AC3693" w:rsidRDefault="00491A64" w:rsidP="00491A64">
      <w:pPr>
        <w:spacing w:after="0" w:line="240" w:lineRule="auto"/>
        <w:ind w:right="5220"/>
        <w:jc w:val="both"/>
        <w:outlineLvl w:val="0"/>
        <w:rPr>
          <w:rFonts w:ascii="Calibri" w:eastAsia="Times New Roman" w:hAnsi="Calibri" w:cs="Calibri"/>
          <w:b/>
          <w:sz w:val="36"/>
          <w:szCs w:val="36"/>
        </w:rPr>
      </w:pPr>
      <w:r w:rsidRPr="00AC3693">
        <w:rPr>
          <w:rFonts w:ascii="Calibri" w:eastAsia="Times New Roman" w:hAnsi="Calibri" w:cs="Calibri"/>
          <w:b/>
          <w:sz w:val="36"/>
          <w:szCs w:val="36"/>
        </w:rPr>
        <w:t xml:space="preserve">     </w:t>
      </w:r>
    </w:p>
    <w:p w:rsidR="00491A64" w:rsidRPr="00E36E97" w:rsidRDefault="00491A64" w:rsidP="00491A64">
      <w:pPr>
        <w:spacing w:after="0" w:line="240" w:lineRule="auto"/>
        <w:outlineLvl w:val="0"/>
        <w:rPr>
          <w:rFonts w:ascii="Calibri" w:eastAsia="Times New Roman" w:hAnsi="Calibri" w:cs="Calibri"/>
          <w:b/>
          <w:color w:val="FFFF00"/>
          <w:sz w:val="32"/>
          <w:szCs w:val="32"/>
        </w:rPr>
      </w:pPr>
      <w:bookmarkStart w:id="0" w:name="_GoBack"/>
      <w:r>
        <w:rPr>
          <w:rFonts w:ascii="Calibri" w:eastAsia="Times New Roman" w:hAnsi="Calibri" w:cs="Calibri"/>
          <w:b/>
          <w:sz w:val="24"/>
          <w:szCs w:val="24"/>
        </w:rPr>
        <w:t xml:space="preserve">            </w:t>
      </w:r>
      <w:r w:rsidRPr="00E36E9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6E97">
        <w:rPr>
          <w:rFonts w:ascii="Calibri" w:eastAsia="Times New Roman" w:hAnsi="Calibri" w:cs="Calibri"/>
          <w:b/>
          <w:color w:val="FFFF00"/>
          <w:sz w:val="32"/>
          <w:szCs w:val="32"/>
        </w:rPr>
        <w:t xml:space="preserve">U.S. Heavy Trucks Market (Class 8) – </w:t>
      </w:r>
      <w:proofErr w:type="spellStart"/>
      <w:r>
        <w:rPr>
          <w:rFonts w:ascii="Calibri" w:eastAsia="Times New Roman" w:hAnsi="Calibri" w:cs="Calibri"/>
          <w:b/>
          <w:color w:val="FFFF00"/>
          <w:sz w:val="32"/>
          <w:szCs w:val="32"/>
        </w:rPr>
        <w:t>Vendite</w:t>
      </w:r>
      <w:proofErr w:type="spellEnd"/>
      <w:r>
        <w:rPr>
          <w:rFonts w:ascii="Calibri" w:eastAsia="Times New Roman" w:hAnsi="Calibri" w:cs="Calibri"/>
          <w:b/>
          <w:color w:val="FFFF00"/>
          <w:sz w:val="32"/>
          <w:szCs w:val="32"/>
        </w:rPr>
        <w:t xml:space="preserve"> </w:t>
      </w:r>
      <w:r w:rsidR="00511D35">
        <w:rPr>
          <w:rFonts w:ascii="Calibri" w:eastAsia="Times New Roman" w:hAnsi="Calibri" w:cs="Calibri"/>
          <w:b/>
          <w:color w:val="FFFF00"/>
          <w:sz w:val="32"/>
          <w:szCs w:val="32"/>
        </w:rPr>
        <w:t>a</w:t>
      </w:r>
      <w:r>
        <w:rPr>
          <w:rFonts w:ascii="Calibri" w:eastAsia="Times New Roman" w:hAnsi="Calibri" w:cs="Calibri"/>
          <w:b/>
          <w:color w:val="FFFF00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FFFF00"/>
          <w:sz w:val="32"/>
          <w:szCs w:val="32"/>
        </w:rPr>
        <w:t>Dicembre</w:t>
      </w:r>
      <w:proofErr w:type="spellEnd"/>
      <w:r w:rsidR="00511D35">
        <w:rPr>
          <w:rFonts w:ascii="Calibri" w:eastAsia="Times New Roman" w:hAnsi="Calibri" w:cs="Calibri"/>
          <w:b/>
          <w:color w:val="FFFF00"/>
          <w:sz w:val="32"/>
          <w:szCs w:val="32"/>
        </w:rPr>
        <w:t xml:space="preserve"> 2016</w:t>
      </w:r>
    </w:p>
    <w:bookmarkEnd w:id="0"/>
    <w:p w:rsidR="00491A64" w:rsidRPr="00E36E97" w:rsidRDefault="00491A64" w:rsidP="00491A64">
      <w:pPr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E36E97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A64" w:rsidRPr="00C26F9B" w:rsidRDefault="00491A64" w:rsidP="00491A64">
      <w:pPr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val="it-IT"/>
        </w:rPr>
      </w:pPr>
      <w:r w:rsidRPr="00491A64">
        <w:rPr>
          <w:rFonts w:ascii="Calibri" w:eastAsia="Times New Roman" w:hAnsi="Calibri" w:cs="Calibri"/>
          <w:b/>
          <w:sz w:val="28"/>
          <w:szCs w:val="24"/>
          <w:lang w:val="it-IT"/>
        </w:rPr>
        <w:t>Prosegue il lento recupero del mercato dei pesanti Class 8)</w:t>
      </w:r>
    </w:p>
    <w:p w:rsidR="00491A64" w:rsidRPr="00883413" w:rsidRDefault="00491A64" w:rsidP="00491A64">
      <w:pPr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val="it-IT"/>
        </w:rPr>
      </w:pPr>
      <w:r w:rsidRPr="00D46F00">
        <w:rPr>
          <w:noProof/>
          <w:color w:val="FF0000"/>
          <w:sz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8971DE1" wp14:editId="38622FA2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572000" cy="3246120"/>
            <wp:effectExtent l="0" t="0" r="0" b="11430"/>
            <wp:wrapSquare wrapText="bothSides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>Secondo I dati preliminari della Ward's Automotive con 1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5.629 unità 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le vendite di Class 8 in </w:t>
      </w:r>
      <w:r>
        <w:rPr>
          <w:rFonts w:ascii="Calibri" w:eastAsia="Times New Roman" w:hAnsi="Calibri" w:cs="Calibri"/>
          <w:sz w:val="24"/>
          <w:szCs w:val="24"/>
          <w:lang w:val="it-IT"/>
        </w:rPr>
        <w:t>Dicembe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 sono cresciut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e del </w:t>
      </w:r>
      <w:r>
        <w:rPr>
          <w:rFonts w:ascii="Calibri" w:eastAsia="Times New Roman" w:hAnsi="Calibri" w:cs="Calibri"/>
          <w:sz w:val="24"/>
          <w:szCs w:val="24"/>
          <w:lang w:val="it-IT"/>
        </w:rPr>
        <w:t>1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>2.</w:t>
      </w:r>
      <w:r>
        <w:rPr>
          <w:rFonts w:ascii="Calibri" w:eastAsia="Times New Roman" w:hAnsi="Calibri" w:cs="Calibri"/>
          <w:sz w:val="24"/>
          <w:szCs w:val="24"/>
          <w:lang w:val="it-IT"/>
        </w:rPr>
        <w:t>1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% </w:t>
      </w:r>
      <w:r>
        <w:rPr>
          <w:rFonts w:ascii="Calibri" w:eastAsia="Times New Roman" w:hAnsi="Calibri" w:cs="Calibri"/>
          <w:sz w:val="24"/>
          <w:szCs w:val="24"/>
          <w:lang w:val="it-IT"/>
        </w:rPr>
        <w:t>rispetto a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 novembre 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 ma rimangono del 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>2</w:t>
      </w:r>
      <w:r w:rsidR="002931CF">
        <w:rPr>
          <w:rFonts w:ascii="Calibri" w:eastAsia="Times New Roman" w:hAnsi="Calibri" w:cs="Calibri"/>
          <w:sz w:val="24"/>
          <w:szCs w:val="24"/>
          <w:lang w:val="it-IT"/>
        </w:rPr>
        <w:t>5%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inferiori al </w:t>
      </w:r>
      <w:r>
        <w:rPr>
          <w:rFonts w:ascii="Calibri" w:eastAsia="Times New Roman" w:hAnsi="Calibri" w:cs="Calibri"/>
          <w:sz w:val="24"/>
          <w:szCs w:val="24"/>
          <w:lang w:val="it-IT"/>
        </w:rPr>
        <w:t>dicembre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 dello scorso anno</w:t>
      </w:r>
      <w:r w:rsidR="002931CF">
        <w:rPr>
          <w:rFonts w:ascii="Calibri" w:eastAsia="Times New Roman" w:hAnsi="Calibri" w:cs="Calibri"/>
          <w:sz w:val="24"/>
          <w:szCs w:val="24"/>
          <w:lang w:val="it-IT"/>
        </w:rPr>
        <w:t>. Nonostante tutto è stato il  miglior mese del quadrimestre di fine anno</w:t>
      </w:r>
      <w:r>
        <w:rPr>
          <w:rFonts w:ascii="Calibri" w:eastAsia="Times New Roman" w:hAnsi="Calibri" w:cs="Calibri"/>
          <w:sz w:val="24"/>
          <w:szCs w:val="24"/>
          <w:lang w:val="it-IT"/>
        </w:rPr>
        <w:t>.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 Cumulativamente ne</w:t>
      </w:r>
      <w:r w:rsidR="002931CF">
        <w:rPr>
          <w:rFonts w:ascii="Calibri" w:eastAsia="Times New Roman" w:hAnsi="Calibri" w:cs="Calibri"/>
          <w:sz w:val="24"/>
          <w:szCs w:val="24"/>
          <w:lang w:val="it-IT"/>
        </w:rPr>
        <w:t>l 2016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 le vendite sono crollate del 22,</w:t>
      </w:r>
      <w:r w:rsidR="002931CF">
        <w:rPr>
          <w:rFonts w:ascii="Calibri" w:eastAsia="Times New Roman" w:hAnsi="Calibri" w:cs="Calibri"/>
          <w:sz w:val="24"/>
          <w:szCs w:val="24"/>
          <w:lang w:val="it-IT"/>
        </w:rPr>
        <w:t>5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% </w:t>
      </w:r>
      <w:r>
        <w:rPr>
          <w:rFonts w:ascii="Calibri" w:eastAsia="Times New Roman" w:hAnsi="Calibri" w:cs="Calibri"/>
          <w:sz w:val="24"/>
          <w:szCs w:val="24"/>
          <w:lang w:val="it-IT"/>
        </w:rPr>
        <w:t>a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>1</w:t>
      </w:r>
      <w:r w:rsidR="002931CF">
        <w:rPr>
          <w:rFonts w:ascii="Calibri" w:eastAsia="Times New Roman" w:hAnsi="Calibri" w:cs="Calibri"/>
          <w:sz w:val="24"/>
          <w:szCs w:val="24"/>
          <w:lang w:val="it-IT"/>
        </w:rPr>
        <w:t>92.663, rispetto alle 248.707 unità del 2015. La caduta è la più grave dal 2007</w:t>
      </w:r>
      <w:r w:rsidR="00D46F00">
        <w:rPr>
          <w:rFonts w:ascii="Calibri" w:eastAsia="Times New Roman" w:hAnsi="Calibri" w:cs="Calibri"/>
          <w:sz w:val="24"/>
          <w:szCs w:val="24"/>
          <w:lang w:val="it-IT"/>
        </w:rPr>
        <w:t xml:space="preserve">, l’anno che vide l’ l’introduzione delle nuove regole sulle emissioni e che seguiì il gran prebuying della fine del 2006 </w:t>
      </w:r>
      <w:r w:rsidRPr="00883413">
        <w:rPr>
          <w:rFonts w:ascii="Calibri" w:eastAsia="Times New Roman" w:hAnsi="Calibri" w:cs="Calibri"/>
          <w:sz w:val="24"/>
          <w:szCs w:val="24"/>
          <w:lang w:val="it-IT"/>
        </w:rPr>
        <w:t>.</w:t>
      </w:r>
    </w:p>
    <w:p w:rsidR="00491A64" w:rsidRDefault="00D46F00" w:rsidP="00D46F00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lang w:val="it-IT"/>
        </w:rPr>
      </w:pPr>
      <w:r w:rsidRPr="006E1F2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D882D3" wp14:editId="731F9B1C">
            <wp:simplePos x="0" y="0"/>
            <wp:positionH relativeFrom="column">
              <wp:posOffset>1687195</wp:posOffset>
            </wp:positionH>
            <wp:positionV relativeFrom="paragraph">
              <wp:posOffset>201930</wp:posOffset>
            </wp:positionV>
            <wp:extent cx="4572000" cy="2743200"/>
            <wp:effectExtent l="0" t="0" r="0" b="0"/>
            <wp:wrapSquare wrapText="bothSides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64"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Quanto 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agli ordini l’ultimo dato disponibile è quello che </w:t>
      </w:r>
      <w:r w:rsidR="00491A64"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la FTR ha annunciato 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di </w:t>
      </w:r>
      <w:r w:rsidR="00491A64" w:rsidRPr="00883413">
        <w:rPr>
          <w:rFonts w:ascii="Calibri" w:eastAsia="Times New Roman" w:hAnsi="Calibri" w:cs="Calibri"/>
          <w:sz w:val="24"/>
          <w:szCs w:val="24"/>
          <w:lang w:val="it-IT"/>
        </w:rPr>
        <w:t xml:space="preserve">19,300 </w:t>
      </w:r>
      <w:r w:rsidR="00813331" w:rsidRPr="00883413">
        <w:rPr>
          <w:rFonts w:ascii="Calibri" w:eastAsia="Times New Roman" w:hAnsi="Calibri" w:cs="Calibri"/>
          <w:sz w:val="24"/>
          <w:szCs w:val="24"/>
          <w:lang w:val="it-IT"/>
        </w:rPr>
        <w:t>unità</w:t>
      </w:r>
      <w:r>
        <w:rPr>
          <w:rFonts w:ascii="Calibri" w:eastAsia="Times New Roman" w:hAnsi="Calibri" w:cs="Calibri"/>
          <w:sz w:val="24"/>
          <w:szCs w:val="24"/>
          <w:lang w:val="it-IT"/>
        </w:rPr>
        <w:t xml:space="preserve"> per novembre</w:t>
      </w:r>
      <w:r w:rsidR="00491A64" w:rsidRPr="00883413">
        <w:rPr>
          <w:rFonts w:ascii="Calibri" w:eastAsia="Times New Roman" w:hAnsi="Calibri" w:cs="Calibri"/>
          <w:sz w:val="24"/>
          <w:szCs w:val="24"/>
          <w:lang w:val="it-IT"/>
        </w:rPr>
        <w:t>, + 41% rispetto ad ottobre.</w:t>
      </w:r>
      <w:r w:rsidR="00491A64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</w:p>
    <w:p w:rsidR="00491A64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491A64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491A64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491A64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491A64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D46F00" w:rsidRDefault="00D46F0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D46F00" w:rsidRDefault="00D46F0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</w:p>
    <w:p w:rsidR="005E1650" w:rsidRDefault="005E1650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  <w:r w:rsidRPr="006E1F28"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B9CA561" wp14:editId="13813BA7">
            <wp:simplePos x="0" y="0"/>
            <wp:positionH relativeFrom="page">
              <wp:align>right</wp:align>
            </wp:positionH>
            <wp:positionV relativeFrom="paragraph">
              <wp:posOffset>20955</wp:posOffset>
            </wp:positionV>
            <wp:extent cx="4572000" cy="2743200"/>
            <wp:effectExtent l="0" t="0" r="0" b="0"/>
            <wp:wrapSquare wrapText="bothSides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64" w:rsidRPr="00C43886" w:rsidRDefault="00491A64" w:rsidP="00491A64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it-IT"/>
        </w:rPr>
      </w:pPr>
      <w:r w:rsidRPr="00C43886">
        <w:rPr>
          <w:rFonts w:ascii="Calibri" w:eastAsia="Calibri" w:hAnsi="Calibri" w:cs="Times New Roman"/>
          <w:sz w:val="24"/>
          <w:lang w:val="it-IT"/>
        </w:rPr>
        <w:t>A fia</w:t>
      </w:r>
      <w:r>
        <w:rPr>
          <w:rFonts w:ascii="Calibri" w:eastAsia="Calibri" w:hAnsi="Calibri" w:cs="Times New Roman"/>
          <w:sz w:val="24"/>
          <w:lang w:val="it-IT"/>
        </w:rPr>
        <w:t>n</w:t>
      </w:r>
      <w:r w:rsidRPr="00C43886">
        <w:rPr>
          <w:rFonts w:ascii="Calibri" w:eastAsia="Calibri" w:hAnsi="Calibri" w:cs="Times New Roman"/>
          <w:sz w:val="24"/>
          <w:lang w:val="it-IT"/>
        </w:rPr>
        <w:t xml:space="preserve">co le quote </w:t>
      </w:r>
      <w:r w:rsidR="00813331" w:rsidRPr="00C43886">
        <w:rPr>
          <w:rFonts w:ascii="Calibri" w:eastAsia="Calibri" w:hAnsi="Calibri" w:cs="Times New Roman"/>
          <w:sz w:val="24"/>
          <w:lang w:val="it-IT"/>
        </w:rPr>
        <w:t>preliminari</w:t>
      </w:r>
      <w:r w:rsidRPr="00C43886">
        <w:rPr>
          <w:rFonts w:ascii="Calibri" w:eastAsia="Calibri" w:hAnsi="Calibri" w:cs="Times New Roman"/>
          <w:sz w:val="24"/>
          <w:lang w:val="it-IT"/>
        </w:rPr>
        <w:t xml:space="preserve"> dei  various brands in Ottobre. </w:t>
      </w: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8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8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8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8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4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4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4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4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4"/>
          <w:lang w:val="it-IT"/>
        </w:rPr>
      </w:pPr>
    </w:p>
    <w:p w:rsidR="00491A64" w:rsidRPr="00C43886" w:rsidRDefault="00491A64" w:rsidP="00491A64">
      <w:pPr>
        <w:spacing w:after="0" w:line="240" w:lineRule="auto"/>
        <w:rPr>
          <w:rFonts w:ascii="Calibri" w:eastAsia="Calibri" w:hAnsi="Calibri" w:cs="Times New Roman"/>
          <w:sz w:val="28"/>
          <w:lang w:val="it-IT"/>
        </w:rPr>
      </w:pPr>
    </w:p>
    <w:p w:rsidR="00491A64" w:rsidRPr="00C43886" w:rsidRDefault="00491A64" w:rsidP="00491A64">
      <w:pPr>
        <w:rPr>
          <w:rFonts w:ascii="Calibri" w:eastAsia="Calibri" w:hAnsi="Calibri" w:cs="Times New Roman"/>
          <w:b/>
          <w:sz w:val="28"/>
          <w:lang w:val="it-IT"/>
        </w:rPr>
      </w:pPr>
    </w:p>
    <w:p w:rsidR="00491A64" w:rsidRPr="007759F2" w:rsidRDefault="00491A64" w:rsidP="00491A64">
      <w:pPr>
        <w:rPr>
          <w:bCs/>
          <w:sz w:val="24"/>
          <w:szCs w:val="24"/>
          <w:lang w:val="it-IT"/>
        </w:rPr>
      </w:pPr>
      <w:r w:rsidRPr="007759F2">
        <w:rPr>
          <w:bCs/>
          <w:sz w:val="24"/>
          <w:szCs w:val="24"/>
          <w:lang w:val="it-IT"/>
        </w:rPr>
        <w:t xml:space="preserve">La classe media è </w:t>
      </w:r>
      <w:r w:rsidR="005E1650">
        <w:rPr>
          <w:bCs/>
          <w:sz w:val="24"/>
          <w:szCs w:val="24"/>
          <w:lang w:val="it-IT"/>
        </w:rPr>
        <w:t>pure salita leggermente a Dicembre</w:t>
      </w:r>
      <w:r w:rsidRPr="007759F2">
        <w:rPr>
          <w:bCs/>
          <w:sz w:val="24"/>
          <w:szCs w:val="24"/>
          <w:lang w:val="it-IT"/>
        </w:rPr>
        <w:t xml:space="preserve">, del </w:t>
      </w:r>
      <w:r w:rsidR="005E1650">
        <w:rPr>
          <w:bCs/>
          <w:sz w:val="24"/>
          <w:szCs w:val="24"/>
          <w:lang w:val="it-IT"/>
        </w:rPr>
        <w:t>2,3%</w:t>
      </w:r>
      <w:r w:rsidRPr="007759F2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c</w:t>
      </w:r>
      <w:r w:rsidRPr="007759F2">
        <w:rPr>
          <w:bCs/>
          <w:sz w:val="24"/>
          <w:szCs w:val="24"/>
          <w:lang w:val="it-IT"/>
        </w:rPr>
        <w:t>o</w:t>
      </w:r>
      <w:r>
        <w:rPr>
          <w:bCs/>
          <w:sz w:val="24"/>
          <w:szCs w:val="24"/>
          <w:lang w:val="it-IT"/>
        </w:rPr>
        <w:t>n</w:t>
      </w:r>
      <w:r w:rsidRPr="007759F2">
        <w:rPr>
          <w:bCs/>
          <w:sz w:val="24"/>
          <w:szCs w:val="24"/>
          <w:lang w:val="it-IT"/>
        </w:rPr>
        <w:t xml:space="preserve"> </w:t>
      </w:r>
      <w:r w:rsidR="005E1650">
        <w:rPr>
          <w:bCs/>
          <w:sz w:val="24"/>
          <w:szCs w:val="24"/>
          <w:lang w:val="it-IT"/>
        </w:rPr>
        <w:t>20.096</w:t>
      </w:r>
      <w:r w:rsidRPr="007759F2">
        <w:rPr>
          <w:bCs/>
          <w:sz w:val="24"/>
          <w:szCs w:val="24"/>
          <w:lang w:val="it-IT"/>
        </w:rPr>
        <w:t xml:space="preserve"> unit</w:t>
      </w:r>
      <w:r>
        <w:rPr>
          <w:bCs/>
          <w:sz w:val="24"/>
          <w:szCs w:val="24"/>
          <w:lang w:val="it-IT"/>
        </w:rPr>
        <w:t>à immatricolate</w:t>
      </w:r>
      <w:r w:rsidR="00813331">
        <w:rPr>
          <w:bCs/>
          <w:sz w:val="24"/>
          <w:szCs w:val="24"/>
          <w:lang w:val="it-IT"/>
        </w:rPr>
        <w:t xml:space="preserve">. Nel totale dell’anno </w:t>
      </w:r>
      <w:r w:rsidR="00813331" w:rsidRPr="00813331">
        <w:rPr>
          <w:bCs/>
          <w:sz w:val="24"/>
          <w:szCs w:val="24"/>
          <w:lang w:val="it-IT"/>
        </w:rPr>
        <w:t xml:space="preserve">400,356 </w:t>
      </w:r>
      <w:r w:rsidR="00813331">
        <w:rPr>
          <w:bCs/>
          <w:sz w:val="24"/>
          <w:szCs w:val="24"/>
          <w:lang w:val="it-IT"/>
        </w:rPr>
        <w:t xml:space="preserve">unità sono state immatricolate nelle classi da 4 a 8, giù del </w:t>
      </w:r>
      <w:r w:rsidR="00813331" w:rsidRPr="00813331">
        <w:rPr>
          <w:bCs/>
          <w:sz w:val="24"/>
          <w:szCs w:val="24"/>
          <w:lang w:val="it-IT"/>
        </w:rPr>
        <w:t xml:space="preserve">10.9% </w:t>
      </w:r>
      <w:r w:rsidR="00813331">
        <w:rPr>
          <w:bCs/>
          <w:sz w:val="24"/>
          <w:szCs w:val="24"/>
          <w:lang w:val="it-IT"/>
        </w:rPr>
        <w:t xml:space="preserve">rispetto alle </w:t>
      </w:r>
      <w:r w:rsidR="00813331" w:rsidRPr="00813331">
        <w:rPr>
          <w:bCs/>
          <w:sz w:val="24"/>
          <w:szCs w:val="24"/>
          <w:lang w:val="it-IT"/>
        </w:rPr>
        <w:t xml:space="preserve"> 449,333</w:t>
      </w:r>
      <w:r w:rsidR="00813331">
        <w:rPr>
          <w:bCs/>
          <w:sz w:val="24"/>
          <w:szCs w:val="24"/>
          <w:lang w:val="it-IT"/>
        </w:rPr>
        <w:t xml:space="preserve"> unità del 2015</w:t>
      </w:r>
    </w:p>
    <w:p w:rsidR="00491A64" w:rsidRPr="00652A4B" w:rsidRDefault="005E1650" w:rsidP="00491A64">
      <w:pPr>
        <w:rPr>
          <w:b/>
          <w:bCs/>
          <w:sz w:val="32"/>
          <w:szCs w:val="32"/>
          <w:lang w:val="it-IT"/>
        </w:rPr>
      </w:pPr>
      <w:r w:rsidRPr="0088775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6F7E7E0" wp14:editId="4F876D11">
            <wp:extent cx="5664200" cy="3187700"/>
            <wp:effectExtent l="0" t="0" r="0" b="0"/>
            <wp:docPr id="2" name="Immagine 2" descr="http://wardsauto.com/site-files/wardsauto.com/files/imagecache/large_img/uploads/2017/01/usgvw1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dsauto.com/site-files/wardsauto.com/files/imagecache/large_img/uploads/2017/01/usgvw16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64" w:rsidRPr="0089009C" w:rsidRDefault="00491A64" w:rsidP="00491A64">
      <w:pPr>
        <w:rPr>
          <w:b/>
          <w:sz w:val="28"/>
          <w:lang w:val="it-IT"/>
        </w:rPr>
      </w:pPr>
    </w:p>
    <w:p w:rsidR="00FB76AC" w:rsidRPr="00813331" w:rsidRDefault="00813331">
      <w:pPr>
        <w:rPr>
          <w:b/>
          <w:color w:val="ED7D31" w:themeColor="accent2"/>
          <w:sz w:val="32"/>
          <w:lang w:val="it-IT"/>
        </w:rPr>
      </w:pPr>
      <w:r w:rsidRPr="00813331">
        <w:rPr>
          <w:b/>
          <w:color w:val="ED7D31" w:themeColor="accent2"/>
          <w:sz w:val="32"/>
          <w:lang w:val="it-IT"/>
        </w:rPr>
        <w:t>Emilio di Camillo – Centro Studi Subalpino – gennaio 2017</w:t>
      </w:r>
    </w:p>
    <w:sectPr w:rsidR="00FB76AC" w:rsidRPr="00813331" w:rsidSect="00E749A6">
      <w:footerReference w:type="default" r:id="rId10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A6" w:rsidRDefault="00511D3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49A6" w:rsidRDefault="00511D35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64"/>
    <w:rsid w:val="002931CF"/>
    <w:rsid w:val="00491A64"/>
    <w:rsid w:val="00511D35"/>
    <w:rsid w:val="005E1650"/>
    <w:rsid w:val="00813331"/>
    <w:rsid w:val="00D46F00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7897-2103-451A-A2C0-0C2E8F2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A6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91A64"/>
    <w:pPr>
      <w:tabs>
        <w:tab w:val="center" w:pos="4986"/>
        <w:tab w:val="right" w:pos="9972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A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D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U.S. Heavy Trucks Market (Class 8) - monthly values  </a:t>
            </a:r>
          </a:p>
          <a:p>
            <a:pPr>
              <a:defRPr sz="1050"/>
            </a:pPr>
            <a:r>
              <a:rPr lang="en-US" sz="900"/>
              <a:t>Source Ward's Automotive</a:t>
            </a:r>
          </a:p>
        </c:rich>
      </c:tx>
      <c:layout>
        <c:manualLayout>
          <c:xMode val="edge"/>
          <c:yMode val="edge"/>
          <c:x val="0.186631889763779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68482064741907"/>
          <c:y val="0.10884194053208138"/>
          <c:w val="0.8357596237970254"/>
          <c:h val="0.535297524429164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trendline>
            <c:spPr>
              <a:ln>
                <a:solidFill>
                  <a:srgbClr val="FF0000"/>
                </a:solidFill>
              </a:ln>
            </c:spPr>
            <c:trendlineType val="poly"/>
            <c:order val="3"/>
            <c:dispRSqr val="0"/>
            <c:dispEq val="0"/>
          </c:trendline>
          <c:cat>
            <c:strRef>
              <c:f>Foglio1!$C$2:$N$2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Foglio1!$C$3:$N$3</c:f>
              <c:numCache>
                <c:formatCode>General</c:formatCode>
                <c:ptCount val="12"/>
                <c:pt idx="0">
                  <c:v>15.95</c:v>
                </c:pt>
                <c:pt idx="1">
                  <c:v>15.88</c:v>
                </c:pt>
                <c:pt idx="2">
                  <c:v>20.03</c:v>
                </c:pt>
                <c:pt idx="3">
                  <c:v>16.63</c:v>
                </c:pt>
                <c:pt idx="4">
                  <c:v>17.309999999999999</c:v>
                </c:pt>
                <c:pt idx="5">
                  <c:v>18.350000000000001</c:v>
                </c:pt>
                <c:pt idx="6">
                  <c:v>14.09</c:v>
                </c:pt>
                <c:pt idx="7">
                  <c:v>16.260000000000002</c:v>
                </c:pt>
                <c:pt idx="8">
                  <c:v>14.97</c:v>
                </c:pt>
                <c:pt idx="9">
                  <c:v>13.62</c:v>
                </c:pt>
                <c:pt idx="10">
                  <c:v>13.94</c:v>
                </c:pt>
                <c:pt idx="11">
                  <c:v>15.63</c:v>
                </c:pt>
              </c:numCache>
            </c:numRef>
          </c:val>
        </c:ser>
        <c:ser>
          <c:idx val="1"/>
          <c:order val="1"/>
          <c:tx>
            <c:strRef>
              <c:f>Foglio1!$B$4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trendline>
            <c:spPr>
              <a:ln w="28575">
                <a:solidFill>
                  <a:srgbClr val="FFFF00"/>
                </a:solidFill>
                <a:prstDash val="sysDot"/>
              </a:ln>
            </c:spPr>
            <c:trendlineType val="poly"/>
            <c:order val="3"/>
            <c:dispRSqr val="0"/>
            <c:dispEq val="0"/>
          </c:trendline>
          <c:cat>
            <c:strRef>
              <c:f>Foglio1!$C$2:$N$2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Foglio1!$C$4:$N$4</c:f>
              <c:numCache>
                <c:formatCode>General</c:formatCode>
                <c:ptCount val="12"/>
                <c:pt idx="0" formatCode="0.00">
                  <c:v>17.37</c:v>
                </c:pt>
                <c:pt idx="1">
                  <c:v>17.809999999999999</c:v>
                </c:pt>
                <c:pt idx="2">
                  <c:v>20.63</c:v>
                </c:pt>
                <c:pt idx="3" formatCode="0.00">
                  <c:v>20.51</c:v>
                </c:pt>
                <c:pt idx="4">
                  <c:v>21.5</c:v>
                </c:pt>
                <c:pt idx="5">
                  <c:v>25.37</c:v>
                </c:pt>
                <c:pt idx="6">
                  <c:v>23.38</c:v>
                </c:pt>
                <c:pt idx="7">
                  <c:v>22</c:v>
                </c:pt>
                <c:pt idx="8">
                  <c:v>20.97</c:v>
                </c:pt>
                <c:pt idx="9">
                  <c:v>19.25</c:v>
                </c:pt>
                <c:pt idx="10">
                  <c:v>19.23</c:v>
                </c:pt>
                <c:pt idx="11">
                  <c:v>20.77</c:v>
                </c:pt>
              </c:numCache>
            </c:numRef>
          </c:val>
        </c:ser>
        <c:ser>
          <c:idx val="2"/>
          <c:order val="2"/>
          <c:tx>
            <c:strRef>
              <c:f>Foglio1!$B$5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trendline>
            <c:spPr>
              <a:ln w="28575">
                <a:solidFill>
                  <a:srgbClr val="00B050"/>
                </a:solidFill>
                <a:prstDash val="sysDash"/>
              </a:ln>
            </c:spPr>
            <c:trendlineType val="poly"/>
            <c:order val="3"/>
            <c:dispRSqr val="0"/>
            <c:dispEq val="0"/>
          </c:trendline>
          <c:cat>
            <c:strRef>
              <c:f>Foglio1!$C$2:$N$2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Foglio1!$C$5:$N$5</c:f>
              <c:numCache>
                <c:formatCode>0.00</c:formatCode>
                <c:ptCount val="12"/>
                <c:pt idx="0">
                  <c:v>14.15</c:v>
                </c:pt>
                <c:pt idx="1">
                  <c:v>13.95</c:v>
                </c:pt>
                <c:pt idx="2">
                  <c:v>16.45</c:v>
                </c:pt>
                <c:pt idx="3">
                  <c:v>17.78</c:v>
                </c:pt>
                <c:pt idx="4">
                  <c:v>17.989999999999998</c:v>
                </c:pt>
                <c:pt idx="5">
                  <c:v>19.37</c:v>
                </c:pt>
                <c:pt idx="6">
                  <c:v>18.79</c:v>
                </c:pt>
                <c:pt idx="7">
                  <c:v>19.63</c:v>
                </c:pt>
                <c:pt idx="8">
                  <c:v>20.09</c:v>
                </c:pt>
                <c:pt idx="9">
                  <c:v>22.03</c:v>
                </c:pt>
                <c:pt idx="10">
                  <c:v>16.71</c:v>
                </c:pt>
                <c:pt idx="11">
                  <c:v>23.4</c:v>
                </c:pt>
              </c:numCache>
            </c:numRef>
          </c:val>
        </c:ser>
        <c:ser>
          <c:idx val="3"/>
          <c:order val="3"/>
          <c:tx>
            <c:strRef>
              <c:f>Foglio1!$B$6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trendline>
            <c:spPr>
              <a:ln w="28575">
                <a:solidFill>
                  <a:schemeClr val="accent6"/>
                </a:solidFill>
                <a:prstDash val="sysDot"/>
              </a:ln>
            </c:spPr>
            <c:trendlineType val="poly"/>
            <c:order val="3"/>
            <c:dispRSqr val="0"/>
            <c:dispEq val="0"/>
          </c:trendline>
          <c:cat>
            <c:strRef>
              <c:f>Foglio1!$C$2:$N$2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Foglio1!$C$6:$N$6</c:f>
              <c:numCache>
                <c:formatCode>0.00</c:formatCode>
                <c:ptCount val="12"/>
                <c:pt idx="0">
                  <c:v>13.16</c:v>
                </c:pt>
                <c:pt idx="1">
                  <c:v>12.55</c:v>
                </c:pt>
                <c:pt idx="2">
                  <c:v>13.2</c:v>
                </c:pt>
                <c:pt idx="3">
                  <c:v>15.65</c:v>
                </c:pt>
                <c:pt idx="4">
                  <c:v>15.46</c:v>
                </c:pt>
                <c:pt idx="5">
                  <c:v>15.93</c:v>
                </c:pt>
                <c:pt idx="6">
                  <c:v>15.34</c:v>
                </c:pt>
                <c:pt idx="7">
                  <c:v>15.3</c:v>
                </c:pt>
                <c:pt idx="8">
                  <c:v>16.100000000000001</c:v>
                </c:pt>
                <c:pt idx="9">
                  <c:v>18</c:v>
                </c:pt>
                <c:pt idx="10">
                  <c:v>14.51</c:v>
                </c:pt>
                <c:pt idx="11">
                  <c:v>19.7</c:v>
                </c:pt>
              </c:numCache>
            </c:numRef>
          </c:val>
        </c:ser>
        <c:ser>
          <c:idx val="4"/>
          <c:order val="4"/>
          <c:tx>
            <c:strRef>
              <c:f>Foglio1!$B$7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trendline>
            <c:spPr>
              <a:ln w="28575">
                <a:solidFill>
                  <a:srgbClr val="00B0F0"/>
                </a:solidFill>
                <a:prstDash val="dash"/>
              </a:ln>
            </c:spPr>
            <c:trendlineType val="poly"/>
            <c:order val="3"/>
            <c:dispRSqr val="0"/>
            <c:dispEq val="0"/>
          </c:trendline>
          <c:cat>
            <c:strRef>
              <c:f>Foglio1!$C$2:$N$2</c:f>
              <c:strCache>
                <c:ptCount val="12"/>
                <c:pt idx="0">
                  <c:v>Gen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Foglio1!$C$7:$N$7</c:f>
              <c:numCache>
                <c:formatCode>0.00</c:formatCode>
                <c:ptCount val="12"/>
                <c:pt idx="0">
                  <c:v>14.1</c:v>
                </c:pt>
                <c:pt idx="1">
                  <c:v>15.4</c:v>
                </c:pt>
                <c:pt idx="2">
                  <c:v>17.3</c:v>
                </c:pt>
                <c:pt idx="3">
                  <c:v>16.899999999999999</c:v>
                </c:pt>
                <c:pt idx="4">
                  <c:v>18</c:v>
                </c:pt>
                <c:pt idx="5">
                  <c:v>17.5</c:v>
                </c:pt>
                <c:pt idx="6">
                  <c:v>16.5</c:v>
                </c:pt>
                <c:pt idx="7">
                  <c:v>16.5</c:v>
                </c:pt>
                <c:pt idx="8">
                  <c:v>14.5</c:v>
                </c:pt>
                <c:pt idx="9">
                  <c:v>15.6</c:v>
                </c:pt>
                <c:pt idx="10">
                  <c:v>14.4</c:v>
                </c:pt>
                <c:pt idx="11">
                  <c:v>18.100000000000001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3938432"/>
        <c:axId val="-193943872"/>
      </c:barChart>
      <c:catAx>
        <c:axId val="-19393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3943872"/>
        <c:crosses val="autoZero"/>
        <c:auto val="1"/>
        <c:lblAlgn val="ctr"/>
        <c:lblOffset val="100"/>
        <c:noMultiLvlLbl val="0"/>
      </c:catAx>
      <c:valAx>
        <c:axId val="-193943872"/>
        <c:scaling>
          <c:orientation val="minMax"/>
          <c:max val="30"/>
          <c:min val="1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800"/>
                </a:pPr>
                <a:r>
                  <a:rPr lang="en-US" sz="800"/>
                  <a:t>thousand units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4.3035993740219089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-193938432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/>
            </a:pPr>
            <a:endParaRPr lang="en-US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00"/>
              <a:t>U.S. Heavy trucks Market (Class 8) - monthly trend since 2010</a:t>
            </a:r>
          </a:p>
          <a:p>
            <a:pPr>
              <a:defRPr/>
            </a:pPr>
            <a:r>
              <a:rPr lang="en-US" sz="800"/>
              <a:t>CSS  on Ward's data</a:t>
            </a:r>
          </a:p>
        </c:rich>
      </c:tx>
      <c:layout>
        <c:manualLayout>
          <c:xMode val="edge"/>
          <c:yMode val="edge"/>
          <c:x val="0.17672922134733157"/>
          <c:y val="0.884259259259259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197287839020121E-2"/>
          <c:y val="0.13057888597258677"/>
          <c:w val="0.88636745406824147"/>
          <c:h val="0.7706167979002625"/>
        </c:manualLayout>
      </c:layout>
      <c:lineChart>
        <c:grouping val="standard"/>
        <c:varyColors val="0"/>
        <c:ser>
          <c:idx val="0"/>
          <c:order val="0"/>
          <c:tx>
            <c:strRef>
              <c:f>Foglio1!$B$3</c:f>
              <c:strCache>
                <c:ptCount val="1"/>
                <c:pt idx="0">
                  <c:v>Volumi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trendline>
            <c:spPr>
              <a:ln w="28575">
                <a:solidFill>
                  <a:srgbClr val="FFFF00"/>
                </a:solidFill>
                <a:prstDash val="sysDot"/>
              </a:ln>
            </c:spPr>
            <c:trendlineType val="poly"/>
            <c:order val="4"/>
            <c:dispRSqr val="0"/>
            <c:dispEq val="0"/>
          </c:trendline>
          <c:cat>
            <c:strRef>
              <c:f>Foglio1!$C$2:$CH$2</c:f>
              <c:strCache>
                <c:ptCount val="84"/>
                <c:pt idx="0">
                  <c:v>gen-10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Mag</c:v>
                </c:pt>
                <c:pt idx="5">
                  <c:v>Giu</c:v>
                </c:pt>
                <c:pt idx="6">
                  <c:v>Lu</c:v>
                </c:pt>
                <c:pt idx="7">
                  <c:v>Ag</c:v>
                </c:pt>
                <c:pt idx="8">
                  <c:v>Set</c:v>
                </c:pt>
                <c:pt idx="9">
                  <c:v>Ot</c:v>
                </c:pt>
                <c:pt idx="10">
                  <c:v>Nov</c:v>
                </c:pt>
                <c:pt idx="11">
                  <c:v>Dec</c:v>
                </c:pt>
                <c:pt idx="12">
                  <c:v>gen-11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Mag</c:v>
                </c:pt>
                <c:pt idx="17">
                  <c:v>Giu</c:v>
                </c:pt>
                <c:pt idx="18">
                  <c:v>Lu</c:v>
                </c:pt>
                <c:pt idx="19">
                  <c:v>Ag</c:v>
                </c:pt>
                <c:pt idx="20">
                  <c:v>Set</c:v>
                </c:pt>
                <c:pt idx="21">
                  <c:v>Ot</c:v>
                </c:pt>
                <c:pt idx="22">
                  <c:v>Nov</c:v>
                </c:pt>
                <c:pt idx="23">
                  <c:v>Dec</c:v>
                </c:pt>
                <c:pt idx="24">
                  <c:v>gen-12</c:v>
                </c:pt>
                <c:pt idx="25">
                  <c:v>Feb</c:v>
                </c:pt>
                <c:pt idx="26">
                  <c:v>Mar</c:v>
                </c:pt>
                <c:pt idx="27">
                  <c:v>Apr</c:v>
                </c:pt>
                <c:pt idx="28">
                  <c:v>Mag</c:v>
                </c:pt>
                <c:pt idx="29">
                  <c:v>Giu</c:v>
                </c:pt>
                <c:pt idx="30">
                  <c:v>Lu</c:v>
                </c:pt>
                <c:pt idx="31">
                  <c:v>Ag</c:v>
                </c:pt>
                <c:pt idx="32">
                  <c:v>Set</c:v>
                </c:pt>
                <c:pt idx="33">
                  <c:v>Ot</c:v>
                </c:pt>
                <c:pt idx="34">
                  <c:v>Nov</c:v>
                </c:pt>
                <c:pt idx="35">
                  <c:v>Dec</c:v>
                </c:pt>
                <c:pt idx="36">
                  <c:v>gen-13</c:v>
                </c:pt>
                <c:pt idx="37">
                  <c:v>Feb</c:v>
                </c:pt>
                <c:pt idx="38">
                  <c:v>Mar</c:v>
                </c:pt>
                <c:pt idx="39">
                  <c:v>Apr</c:v>
                </c:pt>
                <c:pt idx="40">
                  <c:v>Mag</c:v>
                </c:pt>
                <c:pt idx="41">
                  <c:v>Giu</c:v>
                </c:pt>
                <c:pt idx="42">
                  <c:v>Lu</c:v>
                </c:pt>
                <c:pt idx="43">
                  <c:v>Ag</c:v>
                </c:pt>
                <c:pt idx="44">
                  <c:v>Set</c:v>
                </c:pt>
                <c:pt idx="45">
                  <c:v>Ot</c:v>
                </c:pt>
                <c:pt idx="46">
                  <c:v>Nov</c:v>
                </c:pt>
                <c:pt idx="47">
                  <c:v>Dec</c:v>
                </c:pt>
                <c:pt idx="48">
                  <c:v>gen-14</c:v>
                </c:pt>
                <c:pt idx="49">
                  <c:v>Feb</c:v>
                </c:pt>
                <c:pt idx="50">
                  <c:v>Mar</c:v>
                </c:pt>
                <c:pt idx="51">
                  <c:v>Apr</c:v>
                </c:pt>
                <c:pt idx="52">
                  <c:v>Mag</c:v>
                </c:pt>
                <c:pt idx="53">
                  <c:v>Giu</c:v>
                </c:pt>
                <c:pt idx="54">
                  <c:v>Lu</c:v>
                </c:pt>
                <c:pt idx="55">
                  <c:v>Ag</c:v>
                </c:pt>
                <c:pt idx="56">
                  <c:v>Set</c:v>
                </c:pt>
                <c:pt idx="57">
                  <c:v>Ot</c:v>
                </c:pt>
                <c:pt idx="58">
                  <c:v>Nov</c:v>
                </c:pt>
                <c:pt idx="59">
                  <c:v>Dec</c:v>
                </c:pt>
                <c:pt idx="60">
                  <c:v>Jan 15</c:v>
                </c:pt>
                <c:pt idx="61">
                  <c:v>feb</c:v>
                </c:pt>
                <c:pt idx="62">
                  <c:v>Mar</c:v>
                </c:pt>
                <c:pt idx="63">
                  <c:v>Apr</c:v>
                </c:pt>
                <c:pt idx="64">
                  <c:v>Mag</c:v>
                </c:pt>
                <c:pt idx="65">
                  <c:v>Giu</c:v>
                </c:pt>
                <c:pt idx="66">
                  <c:v>Lu</c:v>
                </c:pt>
                <c:pt idx="67">
                  <c:v>Ag</c:v>
                </c:pt>
                <c:pt idx="68">
                  <c:v>Set</c:v>
                </c:pt>
                <c:pt idx="69">
                  <c:v>Ot</c:v>
                </c:pt>
                <c:pt idx="70">
                  <c:v>Nov</c:v>
                </c:pt>
                <c:pt idx="71">
                  <c:v>Dec</c:v>
                </c:pt>
                <c:pt idx="72">
                  <c:v>Jan 16</c:v>
                </c:pt>
                <c:pt idx="73">
                  <c:v>feb</c:v>
                </c:pt>
                <c:pt idx="74">
                  <c:v>Mar</c:v>
                </c:pt>
                <c:pt idx="75">
                  <c:v>Apr</c:v>
                </c:pt>
                <c:pt idx="76">
                  <c:v>Mag</c:v>
                </c:pt>
                <c:pt idx="77">
                  <c:v>Giu</c:v>
                </c:pt>
                <c:pt idx="78">
                  <c:v>Lu</c:v>
                </c:pt>
                <c:pt idx="79">
                  <c:v>Ag</c:v>
                </c:pt>
                <c:pt idx="80">
                  <c:v>Set</c:v>
                </c:pt>
                <c:pt idx="81">
                  <c:v>Ot</c:v>
                </c:pt>
                <c:pt idx="82">
                  <c:v>Nov</c:v>
                </c:pt>
                <c:pt idx="83">
                  <c:v>Dec</c:v>
                </c:pt>
              </c:strCache>
            </c:strRef>
          </c:cat>
          <c:val>
            <c:numRef>
              <c:f>Foglio1!$C$3:$CH$3</c:f>
              <c:numCache>
                <c:formatCode>0.0</c:formatCode>
                <c:ptCount val="84"/>
                <c:pt idx="0">
                  <c:v>7.1</c:v>
                </c:pt>
                <c:pt idx="1">
                  <c:v>7.4</c:v>
                </c:pt>
                <c:pt idx="2">
                  <c:v>9</c:v>
                </c:pt>
                <c:pt idx="3">
                  <c:v>8.6</c:v>
                </c:pt>
                <c:pt idx="4">
                  <c:v>8.1</c:v>
                </c:pt>
                <c:pt idx="5">
                  <c:v>8.9</c:v>
                </c:pt>
                <c:pt idx="6">
                  <c:v>9.6</c:v>
                </c:pt>
                <c:pt idx="7">
                  <c:v>8.8000000000000007</c:v>
                </c:pt>
                <c:pt idx="8">
                  <c:v>9.4</c:v>
                </c:pt>
                <c:pt idx="9">
                  <c:v>10</c:v>
                </c:pt>
                <c:pt idx="10">
                  <c:v>9.3000000000000007</c:v>
                </c:pt>
                <c:pt idx="11">
                  <c:v>11.7</c:v>
                </c:pt>
                <c:pt idx="12">
                  <c:v>8.8000000000000007</c:v>
                </c:pt>
                <c:pt idx="13">
                  <c:v>9.6999999999999993</c:v>
                </c:pt>
                <c:pt idx="14">
                  <c:v>13</c:v>
                </c:pt>
                <c:pt idx="15">
                  <c:v>12.1</c:v>
                </c:pt>
                <c:pt idx="16">
                  <c:v>13.8</c:v>
                </c:pt>
                <c:pt idx="17">
                  <c:v>14.6</c:v>
                </c:pt>
                <c:pt idx="18">
                  <c:v>12.9</c:v>
                </c:pt>
                <c:pt idx="19">
                  <c:v>15</c:v>
                </c:pt>
                <c:pt idx="20">
                  <c:v>15.9</c:v>
                </c:pt>
                <c:pt idx="21">
                  <c:v>17.600000000000001</c:v>
                </c:pt>
                <c:pt idx="22">
                  <c:v>17</c:v>
                </c:pt>
                <c:pt idx="23">
                  <c:v>20.9</c:v>
                </c:pt>
                <c:pt idx="24">
                  <c:v>14.1</c:v>
                </c:pt>
                <c:pt idx="25">
                  <c:v>15.4</c:v>
                </c:pt>
                <c:pt idx="26">
                  <c:v>17.3</c:v>
                </c:pt>
                <c:pt idx="27">
                  <c:v>16.899999999999999</c:v>
                </c:pt>
                <c:pt idx="28">
                  <c:v>18</c:v>
                </c:pt>
                <c:pt idx="29">
                  <c:v>17.5</c:v>
                </c:pt>
                <c:pt idx="30">
                  <c:v>16.5</c:v>
                </c:pt>
                <c:pt idx="31">
                  <c:v>16.5</c:v>
                </c:pt>
                <c:pt idx="32">
                  <c:v>14.5</c:v>
                </c:pt>
                <c:pt idx="33">
                  <c:v>15.6</c:v>
                </c:pt>
                <c:pt idx="34">
                  <c:v>14.4</c:v>
                </c:pt>
                <c:pt idx="35">
                  <c:v>18.100000000000001</c:v>
                </c:pt>
                <c:pt idx="36" formatCode="0.00">
                  <c:v>13.16</c:v>
                </c:pt>
                <c:pt idx="37" formatCode="0.00">
                  <c:v>12.55</c:v>
                </c:pt>
                <c:pt idx="38" formatCode="0.00">
                  <c:v>13.2</c:v>
                </c:pt>
                <c:pt idx="39" formatCode="0.00">
                  <c:v>15.65</c:v>
                </c:pt>
                <c:pt idx="40" formatCode="0.00">
                  <c:v>15.46</c:v>
                </c:pt>
                <c:pt idx="41" formatCode="0.00">
                  <c:v>15.93</c:v>
                </c:pt>
                <c:pt idx="42" formatCode="0.00">
                  <c:v>15.34</c:v>
                </c:pt>
                <c:pt idx="43" formatCode="0.00">
                  <c:v>15.3</c:v>
                </c:pt>
                <c:pt idx="44" formatCode="0.00">
                  <c:v>16.100000000000001</c:v>
                </c:pt>
                <c:pt idx="45" formatCode="0.00">
                  <c:v>18</c:v>
                </c:pt>
                <c:pt idx="46" formatCode="0.00">
                  <c:v>14.5</c:v>
                </c:pt>
                <c:pt idx="47" formatCode="0.00">
                  <c:v>19.7</c:v>
                </c:pt>
                <c:pt idx="48" formatCode="0.00">
                  <c:v>14.15</c:v>
                </c:pt>
                <c:pt idx="49" formatCode="0.00">
                  <c:v>13.95</c:v>
                </c:pt>
                <c:pt idx="50" formatCode="0.00">
                  <c:v>16.45</c:v>
                </c:pt>
                <c:pt idx="51" formatCode="0.00">
                  <c:v>17.78</c:v>
                </c:pt>
                <c:pt idx="52" formatCode="0.00">
                  <c:v>17.989999999999998</c:v>
                </c:pt>
                <c:pt idx="53" formatCode="0.00">
                  <c:v>19.37</c:v>
                </c:pt>
                <c:pt idx="54" formatCode="0.00">
                  <c:v>18.79</c:v>
                </c:pt>
                <c:pt idx="55" formatCode="0.00">
                  <c:v>19.63</c:v>
                </c:pt>
                <c:pt idx="56" formatCode="0.00">
                  <c:v>20.09</c:v>
                </c:pt>
                <c:pt idx="57" formatCode="0.00">
                  <c:v>22.03</c:v>
                </c:pt>
                <c:pt idx="58" formatCode="0.00">
                  <c:v>16.71</c:v>
                </c:pt>
                <c:pt idx="59" formatCode="0.00">
                  <c:v>23.4</c:v>
                </c:pt>
                <c:pt idx="60" formatCode="0.00">
                  <c:v>17.37</c:v>
                </c:pt>
                <c:pt idx="61" formatCode="0.00">
                  <c:v>17.809999999999999</c:v>
                </c:pt>
                <c:pt idx="62" formatCode="0.00">
                  <c:v>20.63</c:v>
                </c:pt>
                <c:pt idx="63" formatCode="0.00">
                  <c:v>20.51</c:v>
                </c:pt>
                <c:pt idx="64" formatCode="0.00">
                  <c:v>21.5</c:v>
                </c:pt>
                <c:pt idx="65" formatCode="0.00">
                  <c:v>25.37</c:v>
                </c:pt>
                <c:pt idx="66" formatCode="0.00">
                  <c:v>23.38</c:v>
                </c:pt>
                <c:pt idx="67" formatCode="0.00">
                  <c:v>22</c:v>
                </c:pt>
                <c:pt idx="68" formatCode="0.00">
                  <c:v>20.97</c:v>
                </c:pt>
                <c:pt idx="69" formatCode="0.00">
                  <c:v>19.25</c:v>
                </c:pt>
                <c:pt idx="70" formatCode="0.00">
                  <c:v>19.23</c:v>
                </c:pt>
                <c:pt idx="71" formatCode="0.00">
                  <c:v>20.77</c:v>
                </c:pt>
                <c:pt idx="72" formatCode="0.00">
                  <c:v>15.95</c:v>
                </c:pt>
                <c:pt idx="73" formatCode="0.00">
                  <c:v>15.88</c:v>
                </c:pt>
                <c:pt idx="74" formatCode="0.00">
                  <c:v>20.03</c:v>
                </c:pt>
                <c:pt idx="75" formatCode="0.00">
                  <c:v>16.63</c:v>
                </c:pt>
                <c:pt idx="76" formatCode="0.00">
                  <c:v>17.309999999999999</c:v>
                </c:pt>
                <c:pt idx="77" formatCode="0.00">
                  <c:v>18.350000000000001</c:v>
                </c:pt>
                <c:pt idx="78" formatCode="0.00">
                  <c:v>14.09</c:v>
                </c:pt>
                <c:pt idx="79" formatCode="0.00">
                  <c:v>16.260000000000002</c:v>
                </c:pt>
                <c:pt idx="80" formatCode="0.00">
                  <c:v>14.97</c:v>
                </c:pt>
                <c:pt idx="81" formatCode="0.00">
                  <c:v>13.62</c:v>
                </c:pt>
                <c:pt idx="82" formatCode="0.00">
                  <c:v>13.94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3939520"/>
        <c:axId val="-138319136"/>
      </c:lineChart>
      <c:catAx>
        <c:axId val="-19393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-138319136"/>
        <c:crosses val="autoZero"/>
        <c:auto val="1"/>
        <c:lblAlgn val="ctr"/>
        <c:lblOffset val="100"/>
        <c:tickLblSkip val="6"/>
        <c:noMultiLvlLbl val="0"/>
      </c:catAx>
      <c:valAx>
        <c:axId val="-1383191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-19393952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5431152-1174-4B20-877A-C7B20BA9B04F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38,4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2E96B3B-1153-4B26-8EB3-AB20BF14B4F4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</a:t>
                    </a:r>
                    <a:fld id="{2E29CD61-D675-4AE4-B2BD-F0D0DD1048E8}" type="VALUE">
                      <a:rPr lang="en-US" baseline="0"/>
                      <a:pPr/>
                      <a:t>[VALORE]</a:t>
                    </a:fld>
                    <a:r>
                      <a:rPr lang="en-US" baseline="0"/>
                      <a:t>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31832EA-F7A0-449C-AF0C-50BC0360DA30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15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E643E65-4523-4016-A929-FB19D2ECBE3C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13,7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CCA54AD-CF73-4EC2-9A0C-2B114CE63BF7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8,6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'[Grafico 2 in Microsoft Word]Foglio1'!$P$12:$P$18</c:f>
              <c:strCache>
                <c:ptCount val="7"/>
                <c:pt idx="0">
                  <c:v>  Freightliner</c:v>
                </c:pt>
                <c:pt idx="1">
                  <c:v>  W. Star</c:v>
                </c:pt>
                <c:pt idx="2">
                  <c:v>International </c:v>
                </c:pt>
                <c:pt idx="3">
                  <c:v>  Kenworth</c:v>
                </c:pt>
                <c:pt idx="4">
                  <c:v>  Peterbilt</c:v>
                </c:pt>
                <c:pt idx="5">
                  <c:v>  Mack</c:v>
                </c:pt>
                <c:pt idx="6">
                  <c:v>  Volvo</c:v>
                </c:pt>
              </c:strCache>
            </c:strRef>
          </c:cat>
          <c:val>
            <c:numRef>
              <c:f>'[Grafico 2 in Microsoft Word]Foglio1'!$Q$12:$Q$18</c:f>
              <c:numCache>
                <c:formatCode>General</c:formatCode>
                <c:ptCount val="7"/>
                <c:pt idx="0">
                  <c:v>39</c:v>
                </c:pt>
                <c:pt idx="1">
                  <c:v>2.5</c:v>
                </c:pt>
                <c:pt idx="2">
                  <c:v>11</c:v>
                </c:pt>
                <c:pt idx="3">
                  <c:v>14.9</c:v>
                </c:pt>
                <c:pt idx="4">
                  <c:v>13.6</c:v>
                </c:pt>
                <c:pt idx="5">
                  <c:v>8.6999999999999993</c:v>
                </c:pt>
                <c:pt idx="6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CF59-B52F-425E-B8BC-1ED9D5A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di Camillo</dc:creator>
  <cp:keywords/>
  <dc:description/>
  <cp:lastModifiedBy>Emilio di Camillo</cp:lastModifiedBy>
  <cp:revision>2</cp:revision>
  <cp:lastPrinted>2017-01-14T15:34:00Z</cp:lastPrinted>
  <dcterms:created xsi:type="dcterms:W3CDTF">2017-01-14T14:41:00Z</dcterms:created>
  <dcterms:modified xsi:type="dcterms:W3CDTF">2017-01-14T15:37:00Z</dcterms:modified>
</cp:coreProperties>
</file>